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98" w:rsidRPr="008A19C8" w:rsidRDefault="00B57A98" w:rsidP="00B57A98">
      <w:pPr>
        <w:suppressAutoHyphens/>
        <w:autoSpaceDE/>
        <w:autoSpaceDN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7239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A98" w:rsidRPr="008A19C8" w:rsidRDefault="00B57A98" w:rsidP="00B57A98">
      <w:pPr>
        <w:autoSpaceDE/>
        <w:autoSpaceDN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A19C8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ШИХОВСКОГО СЕЛЬСКОГО ПОСЕЛЕНИЯ</w:t>
      </w:r>
    </w:p>
    <w:p w:rsidR="00B57A98" w:rsidRPr="008A19C8" w:rsidRDefault="00B57A98" w:rsidP="00B57A98">
      <w:pPr>
        <w:autoSpaceDE/>
        <w:autoSpaceDN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A19C8">
        <w:rPr>
          <w:rFonts w:ascii="Times New Roman" w:hAnsi="Times New Roman" w:cs="Times New Roman"/>
          <w:b/>
          <w:sz w:val="28"/>
          <w:szCs w:val="28"/>
          <w:lang w:eastAsia="ar-SA"/>
        </w:rPr>
        <w:t>СЛОБОДСКОГО РАЙОНА КИРОВСКОЙ ОБЛАСТИ</w:t>
      </w:r>
    </w:p>
    <w:p w:rsidR="00B57A98" w:rsidRPr="008A19C8" w:rsidRDefault="00B57A98" w:rsidP="00B57A98">
      <w:pPr>
        <w:autoSpaceDE/>
        <w:autoSpaceDN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57A98" w:rsidRPr="008A19C8" w:rsidRDefault="00B57A98" w:rsidP="00B57A98">
      <w:pPr>
        <w:autoSpaceDE/>
        <w:autoSpaceDN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A19C8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B57A98" w:rsidRDefault="00B57A98" w:rsidP="00B57A98">
      <w:pPr>
        <w:suppressAutoHyphens/>
        <w:autoSpaceDE/>
        <w:autoSpaceDN/>
        <w:spacing w:after="0" w:line="100" w:lineRule="atLeast"/>
        <w:ind w:right="-81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57A98" w:rsidRDefault="00B57A98" w:rsidP="00B57A98">
      <w:pPr>
        <w:suppressAutoHyphens/>
        <w:autoSpaceDE/>
        <w:autoSpaceDN/>
        <w:spacing w:after="0" w:line="100" w:lineRule="atLeast"/>
        <w:ind w:right="-81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30.10.2024</w:t>
      </w:r>
      <w:r w:rsidRPr="008A19C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F46C35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Pr="008A19C8">
        <w:rPr>
          <w:rFonts w:ascii="Times New Roman" w:hAnsi="Times New Roman" w:cs="Times New Roman"/>
          <w:caps/>
          <w:sz w:val="28"/>
          <w:szCs w:val="28"/>
          <w:lang w:eastAsia="ar-SA"/>
        </w:rPr>
        <w:t>№</w:t>
      </w:r>
      <w:r>
        <w:rPr>
          <w:rFonts w:ascii="Times New Roman" w:hAnsi="Times New Roman" w:cs="Times New Roman"/>
          <w:caps/>
          <w:sz w:val="28"/>
          <w:szCs w:val="28"/>
          <w:lang w:eastAsia="ar-SA"/>
        </w:rPr>
        <w:t xml:space="preserve"> </w:t>
      </w:r>
      <w:r w:rsidR="00F46C35">
        <w:rPr>
          <w:rFonts w:ascii="Times New Roman" w:hAnsi="Times New Roman" w:cs="Times New Roman"/>
          <w:caps/>
          <w:sz w:val="28"/>
          <w:szCs w:val="28"/>
          <w:lang w:eastAsia="ar-SA"/>
        </w:rPr>
        <w:t>696</w:t>
      </w:r>
    </w:p>
    <w:p w:rsidR="00B57A98" w:rsidRPr="008A19C8" w:rsidRDefault="00B57A98" w:rsidP="00B57A98">
      <w:pPr>
        <w:suppressAutoHyphens/>
        <w:autoSpaceDE/>
        <w:autoSpaceDN/>
        <w:spacing w:after="0" w:line="100" w:lineRule="atLeast"/>
        <w:ind w:right="-8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A19C8">
        <w:rPr>
          <w:rFonts w:ascii="Times New Roman" w:hAnsi="Times New Roman" w:cs="Times New Roman"/>
          <w:sz w:val="28"/>
          <w:szCs w:val="28"/>
          <w:lang w:eastAsia="ar-SA"/>
        </w:rPr>
        <w:t>д. Шихово</w:t>
      </w:r>
    </w:p>
    <w:p w:rsidR="00B57A98" w:rsidRPr="008A19C8" w:rsidRDefault="00B57A98" w:rsidP="00B57A98">
      <w:pPr>
        <w:suppressAutoHyphens/>
        <w:autoSpaceDE/>
        <w:autoSpaceDN/>
        <w:spacing w:after="0" w:line="100" w:lineRule="atLeast"/>
        <w:ind w:right="-8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57A98" w:rsidRPr="008A19C8" w:rsidRDefault="00B57A98" w:rsidP="00B57A98">
      <w:pPr>
        <w:suppressAutoHyphens/>
        <w:autoSpaceDE/>
        <w:autoSpaceDN/>
        <w:snapToGri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Порядка </w:t>
      </w:r>
      <w:r w:rsidRPr="00B57A9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ведения инвен</w:t>
      </w:r>
      <w:r w:rsidR="00F17A2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тарного и аналитического учета </w:t>
      </w:r>
      <w:r w:rsidRPr="00B57A9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по объектам имущества (нефинансовым активам), составляющим казну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Шиховское</w:t>
      </w:r>
      <w:r w:rsidRPr="00B57A9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сельское поселение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Слободского района Кировской области</w:t>
      </w:r>
    </w:p>
    <w:p w:rsidR="00B57A98" w:rsidRDefault="00B57A98" w:rsidP="00B57A98">
      <w:pPr>
        <w:suppressAutoHyphens/>
        <w:autoSpaceDN/>
        <w:spacing w:before="120"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B57A98" w:rsidRPr="008A19C8" w:rsidRDefault="00B57A98" w:rsidP="00B57A98">
      <w:pPr>
        <w:suppressAutoHyphens/>
        <w:autoSpaceDN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57A9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соответствии с пунктом 145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</w:t>
      </w:r>
      <w:proofErr w:type="gramStart"/>
      <w:r w:rsidRPr="00B57A9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Министерства финансов Российской Федерации от 01.12.2010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№</w:t>
      </w:r>
      <w:r w:rsidRPr="00B57A9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157н и Приказом Минфина России от 31 декабря 2016 г.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№ 257н «</w:t>
      </w:r>
      <w:r w:rsidRPr="00B57A98">
        <w:rPr>
          <w:rFonts w:ascii="Times New Roman" w:eastAsia="Arial" w:hAnsi="Times New Roman" w:cs="Times New Roman"/>
          <w:sz w:val="28"/>
          <w:szCs w:val="28"/>
          <w:lang w:eastAsia="ar-SA"/>
        </w:rPr>
        <w:t>Об утверждении федерального стандарта бухгалтерского учета для органи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заций государственного сектора «Основные средства», Приказом </w:t>
      </w:r>
      <w:r w:rsidRPr="00B57A9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Министерство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финансов Российской Ф</w:t>
      </w:r>
      <w:r w:rsidRPr="00B57A98">
        <w:rPr>
          <w:rFonts w:ascii="Times New Roman" w:eastAsia="Arial" w:hAnsi="Times New Roman" w:cs="Times New Roman"/>
          <w:sz w:val="28"/>
          <w:szCs w:val="28"/>
          <w:lang w:eastAsia="ar-SA"/>
        </w:rPr>
        <w:t>едерации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B57A9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 15 июня 2021 г.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№</w:t>
      </w:r>
      <w:r w:rsidRPr="00B57A9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84н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«О</w:t>
      </w:r>
      <w:r w:rsidRPr="00B57A98">
        <w:rPr>
          <w:rFonts w:ascii="Times New Roman" w:eastAsia="Arial" w:hAnsi="Times New Roman" w:cs="Times New Roman"/>
          <w:sz w:val="28"/>
          <w:szCs w:val="28"/>
          <w:lang w:eastAsia="ar-SA"/>
        </w:rPr>
        <w:t>б утверждении федерального стандарта бухгалтерского учета государственных фина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нсов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«Г</w:t>
      </w:r>
      <w:r w:rsidRPr="00B57A98">
        <w:rPr>
          <w:rFonts w:ascii="Times New Roman" w:eastAsia="Arial" w:hAnsi="Times New Roman" w:cs="Times New Roman"/>
          <w:sz w:val="28"/>
          <w:szCs w:val="28"/>
          <w:lang w:eastAsia="ar-SA"/>
        </w:rPr>
        <w:t>осуда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рственная (муниципальная) казна» администрация</w:t>
      </w:r>
      <w:r w:rsidRPr="008A19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Шиховского</w:t>
      </w:r>
      <w:r w:rsidRPr="008A19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ПОСТАНОВЛЯЕТ:</w:t>
      </w:r>
    </w:p>
    <w:p w:rsidR="00B57A98" w:rsidRDefault="00B57A98" w:rsidP="00B57A98">
      <w:pPr>
        <w:suppressAutoHyphens/>
        <w:autoSpaceDN/>
        <w:spacing w:after="0" w:line="240" w:lineRule="auto"/>
        <w:ind w:firstLine="64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57A98">
        <w:rPr>
          <w:rFonts w:ascii="Times New Roman" w:eastAsia="Arial" w:hAnsi="Times New Roman" w:cs="Times New Roman"/>
          <w:sz w:val="28"/>
          <w:szCs w:val="28"/>
          <w:lang w:eastAsia="ar-SA"/>
        </w:rPr>
        <w:t>1. Утвердить Порядок ведения инвентарного и аналитического учета по объектам имущества (нефинансовым активам), составляющим казну муниципального образования Шиховское сельское поселение Слободского района Кировской области. Прилагается.</w:t>
      </w:r>
    </w:p>
    <w:p w:rsidR="00B57A98" w:rsidRPr="00B57A98" w:rsidRDefault="00B57A98" w:rsidP="00B57A98">
      <w:pPr>
        <w:suppressAutoHyphens/>
        <w:autoSpaceDN/>
        <w:spacing w:after="0" w:line="240" w:lineRule="auto"/>
        <w:ind w:firstLine="64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 </w:t>
      </w:r>
      <w:r w:rsidRPr="00B57A98">
        <w:rPr>
          <w:rFonts w:ascii="Times New Roman" w:eastAsia="Arial" w:hAnsi="Times New Roman" w:cs="Times New Roman"/>
          <w:sz w:val="28"/>
          <w:szCs w:val="28"/>
          <w:lang w:eastAsia="ar-SA"/>
        </w:rPr>
        <w:t>Опубликовать настоящее постановление в официальном печатном издании сельского поселения «Информационный бюллетень органов местного самоуправления Шиховского сельского поселения Слободского района Кировской области»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B57A98" w:rsidRDefault="00B57A98" w:rsidP="00B57A98">
      <w:pPr>
        <w:suppressAutoHyphens/>
        <w:autoSpaceDN/>
        <w:spacing w:after="0" w:line="240" w:lineRule="auto"/>
        <w:ind w:firstLine="64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Pr="00B57A9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Настоящее постановление вступает в силу </w:t>
      </w:r>
      <w:r w:rsidR="00F17A23">
        <w:rPr>
          <w:rFonts w:ascii="Times New Roman" w:eastAsia="Arial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соответствии с действующим законодательством РФ.</w:t>
      </w:r>
    </w:p>
    <w:p w:rsidR="00B57A98" w:rsidRPr="008A19C8" w:rsidRDefault="00B57A98" w:rsidP="00B57A98">
      <w:pPr>
        <w:suppressAutoHyphens/>
        <w:autoSpaceDN/>
        <w:spacing w:after="0" w:line="240" w:lineRule="auto"/>
        <w:ind w:firstLine="64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Pr="008A19C8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</w:t>
      </w:r>
      <w:r w:rsidRPr="008A19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полнением настоящего постановления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возложить на главного специалиста администрации.</w:t>
      </w:r>
    </w:p>
    <w:p w:rsidR="00B57A98" w:rsidRDefault="00B57A98" w:rsidP="00B57A98">
      <w:pPr>
        <w:shd w:val="clear" w:color="auto" w:fill="FFFFFF"/>
        <w:tabs>
          <w:tab w:val="left" w:pos="3045"/>
        </w:tabs>
        <w:autoSpaceDE/>
        <w:autoSpaceDN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A98" w:rsidRPr="00DA035F" w:rsidRDefault="00B57A98" w:rsidP="00B57A98">
      <w:pPr>
        <w:shd w:val="clear" w:color="auto" w:fill="FFFFFF"/>
        <w:tabs>
          <w:tab w:val="left" w:pos="3045"/>
        </w:tabs>
        <w:autoSpaceDE/>
        <w:autoSpaceDN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57A98" w:rsidRDefault="00B57A98" w:rsidP="00B57A98">
      <w:pPr>
        <w:autoSpaceDE/>
        <w:autoSpaceDN/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DA035F">
        <w:rPr>
          <w:rFonts w:ascii="Times New Roman" w:hAnsi="Times New Roman" w:cs="Times New Roman"/>
          <w:sz w:val="28"/>
          <w:szCs w:val="28"/>
        </w:rPr>
        <w:t>Шиховского сельского поселения</w:t>
      </w:r>
      <w:r w:rsidRPr="00DA035F">
        <w:rPr>
          <w:rFonts w:ascii="Times New Roman" w:hAnsi="Times New Roman" w:cs="Times New Roman"/>
          <w:sz w:val="28"/>
          <w:szCs w:val="28"/>
        </w:rPr>
        <w:tab/>
      </w:r>
      <w:r w:rsidRPr="00DA035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035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035F">
        <w:rPr>
          <w:rFonts w:ascii="Times New Roman" w:hAnsi="Times New Roman" w:cs="Times New Roman"/>
          <w:sz w:val="28"/>
          <w:szCs w:val="28"/>
        </w:rPr>
        <w:t xml:space="preserve">        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35F">
        <w:rPr>
          <w:rFonts w:ascii="Times New Roman" w:hAnsi="Times New Roman" w:cs="Times New Roman"/>
          <w:sz w:val="28"/>
          <w:szCs w:val="28"/>
        </w:rPr>
        <w:t>Бушуев</w:t>
      </w:r>
    </w:p>
    <w:p w:rsidR="00B57A98" w:rsidRDefault="00B57A98" w:rsidP="00B57A98">
      <w:pPr>
        <w:autoSpaceDE/>
        <w:autoSpaceDN/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741B66" w:rsidRPr="00741B66" w:rsidRDefault="00741B66" w:rsidP="00741B66">
      <w:pPr>
        <w:widowControl w:val="0"/>
        <w:adjustRightInd w:val="0"/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41B66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1B66" w:rsidRPr="00741B66" w:rsidRDefault="00741B66" w:rsidP="00741B66">
      <w:pPr>
        <w:widowControl w:val="0"/>
        <w:adjustRightInd w:val="0"/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41B6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становлением администрации </w:t>
      </w:r>
      <w:r w:rsidR="00F17A23">
        <w:rPr>
          <w:rFonts w:ascii="Times New Roman" w:hAnsi="Times New Roman" w:cs="Times New Roman"/>
          <w:sz w:val="28"/>
          <w:szCs w:val="28"/>
        </w:rPr>
        <w:t xml:space="preserve">Шиховского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от 30.10</w:t>
      </w:r>
      <w:r w:rsidRPr="00741B66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C35">
        <w:rPr>
          <w:rFonts w:ascii="Times New Roman" w:hAnsi="Times New Roman" w:cs="Times New Roman"/>
          <w:sz w:val="28"/>
          <w:szCs w:val="28"/>
        </w:rPr>
        <w:t>№</w:t>
      </w:r>
      <w:r w:rsidR="00F46C35">
        <w:rPr>
          <w:rFonts w:ascii="Times New Roman" w:hAnsi="Times New Roman" w:cs="Times New Roman"/>
          <w:sz w:val="28"/>
          <w:szCs w:val="28"/>
        </w:rPr>
        <w:t xml:space="preserve"> 696</w:t>
      </w:r>
    </w:p>
    <w:p w:rsidR="00741B66" w:rsidRDefault="00741B66" w:rsidP="00741B66">
      <w:pPr>
        <w:pStyle w:val="formattexttoplevel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741B66" w:rsidRPr="00012B76" w:rsidRDefault="00741B66" w:rsidP="00741B66">
      <w:pPr>
        <w:pStyle w:val="formattexttoplevel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012B76">
        <w:rPr>
          <w:b/>
          <w:sz w:val="28"/>
          <w:szCs w:val="28"/>
        </w:rPr>
        <w:t xml:space="preserve">Порядок </w:t>
      </w:r>
    </w:p>
    <w:p w:rsidR="00741B66" w:rsidRDefault="00741B66" w:rsidP="00741B66">
      <w:pPr>
        <w:pStyle w:val="formattexttoplevel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012B76">
        <w:rPr>
          <w:b/>
          <w:sz w:val="28"/>
          <w:szCs w:val="28"/>
        </w:rPr>
        <w:t xml:space="preserve">ведения инвентарного и аналитического учета по объектам имущества (нефинансовым активам), составляющим казну муниципального образования </w:t>
      </w:r>
      <w:r>
        <w:rPr>
          <w:b/>
          <w:bCs/>
          <w:sz w:val="28"/>
          <w:szCs w:val="28"/>
          <w:lang w:eastAsia="ar-SA"/>
        </w:rPr>
        <w:t>Шиховское</w:t>
      </w:r>
      <w:r w:rsidRPr="00B57A98">
        <w:rPr>
          <w:b/>
          <w:bCs/>
          <w:sz w:val="28"/>
          <w:szCs w:val="28"/>
          <w:lang w:eastAsia="ar-SA"/>
        </w:rPr>
        <w:t xml:space="preserve"> сельское поселение</w:t>
      </w:r>
      <w:r>
        <w:rPr>
          <w:b/>
          <w:bCs/>
          <w:sz w:val="28"/>
          <w:szCs w:val="28"/>
          <w:lang w:eastAsia="ar-SA"/>
        </w:rPr>
        <w:t xml:space="preserve"> Слободского района Кировской области</w:t>
      </w:r>
    </w:p>
    <w:p w:rsidR="00741B66" w:rsidRDefault="00741B66" w:rsidP="00741B66">
      <w:pPr>
        <w:pStyle w:val="formattexttoplevel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741B66" w:rsidRPr="00012B76" w:rsidRDefault="00741B66" w:rsidP="00741B66">
      <w:pPr>
        <w:pStyle w:val="formattexttopleveltext"/>
        <w:spacing w:before="0" w:beforeAutospacing="0" w:after="0" w:afterAutospacing="0"/>
        <w:jc w:val="center"/>
        <w:textAlignment w:val="baseline"/>
        <w:rPr>
          <w:b/>
          <w:color w:val="444444"/>
          <w:sz w:val="28"/>
          <w:szCs w:val="28"/>
        </w:rPr>
      </w:pPr>
      <w:r w:rsidRPr="00012B76">
        <w:rPr>
          <w:b/>
          <w:sz w:val="28"/>
          <w:szCs w:val="28"/>
        </w:rPr>
        <w:t>1. Общие положения</w:t>
      </w:r>
    </w:p>
    <w:p w:rsidR="00741B66" w:rsidRPr="00012B76" w:rsidRDefault="00741B66" w:rsidP="00741B66">
      <w:pPr>
        <w:pStyle w:val="formattexttopleveltextinden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741B66" w:rsidRPr="00741B66" w:rsidRDefault="00741B66" w:rsidP="00741B66">
      <w:pPr>
        <w:pStyle w:val="formattexttopleveltextindenttext"/>
        <w:numPr>
          <w:ilvl w:val="1"/>
          <w:numId w:val="2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r w:rsidRPr="00741B66">
        <w:rPr>
          <w:sz w:val="28"/>
          <w:szCs w:val="28"/>
        </w:rPr>
        <w:t>Настоящий Порядок устанавливает правила ведения инвентарного и аналитического учета по объектам имущества (нефинансовым активам) составляющим казну муниципального образования Шиховское</w:t>
      </w:r>
      <w:r w:rsidRPr="00741B66">
        <w:rPr>
          <w:sz w:val="28"/>
          <w:szCs w:val="28"/>
          <w:shd w:val="clear" w:color="auto" w:fill="FFFFFF"/>
        </w:rPr>
        <w:t xml:space="preserve"> сельское поселение»</w:t>
      </w:r>
      <w:r w:rsidRPr="00741B66">
        <w:rPr>
          <w:sz w:val="28"/>
          <w:szCs w:val="28"/>
        </w:rPr>
        <w:t xml:space="preserve"> (далее - имущество муниципальной казны).</w:t>
      </w:r>
    </w:p>
    <w:p w:rsidR="00741B66" w:rsidRPr="00741B66" w:rsidRDefault="00741B66" w:rsidP="00741B66">
      <w:pPr>
        <w:pStyle w:val="formattexttopleveltextindenttext"/>
        <w:numPr>
          <w:ilvl w:val="1"/>
          <w:numId w:val="2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proofErr w:type="gramStart"/>
      <w:r w:rsidRPr="00741B66">
        <w:rPr>
          <w:sz w:val="28"/>
          <w:szCs w:val="28"/>
        </w:rPr>
        <w:t>Порядок разработан в соответствии с приказом Министерства финансов Российской Федерации от 01.12.2010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– Инструкция № 157н) и Приказом Минфина России от 31 декабря 2016 г. N 257н "Об</w:t>
      </w:r>
      <w:proofErr w:type="gramEnd"/>
      <w:r w:rsidRPr="00741B66">
        <w:rPr>
          <w:sz w:val="28"/>
          <w:szCs w:val="28"/>
        </w:rPr>
        <w:t xml:space="preserve"> </w:t>
      </w:r>
      <w:proofErr w:type="gramStart"/>
      <w:r w:rsidRPr="00741B66">
        <w:rPr>
          <w:sz w:val="28"/>
          <w:szCs w:val="28"/>
        </w:rPr>
        <w:t>утверждении</w:t>
      </w:r>
      <w:proofErr w:type="gramEnd"/>
      <w:r w:rsidRPr="00741B66">
        <w:rPr>
          <w:sz w:val="28"/>
          <w:szCs w:val="28"/>
        </w:rPr>
        <w:t xml:space="preserve"> федерального стандарта бухгалтерского учета для организаций государственного сектора "Основные средства".</w:t>
      </w:r>
    </w:p>
    <w:p w:rsidR="00741B66" w:rsidRPr="00741B66" w:rsidRDefault="00741B66" w:rsidP="00741B66">
      <w:pPr>
        <w:pStyle w:val="formattexttopleveltextindenttext"/>
        <w:tabs>
          <w:tab w:val="left" w:pos="993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41B66">
        <w:rPr>
          <w:b/>
          <w:sz w:val="28"/>
          <w:szCs w:val="28"/>
        </w:rPr>
        <w:t>2. Состав и источники образования казны</w:t>
      </w:r>
    </w:p>
    <w:p w:rsidR="00741B66" w:rsidRPr="00741B66" w:rsidRDefault="00741B66" w:rsidP="00741B66">
      <w:pPr>
        <w:pStyle w:val="formattexttoplevel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741B66" w:rsidRPr="00741B66" w:rsidRDefault="00741B66" w:rsidP="00741B66">
      <w:pPr>
        <w:pStyle w:val="a6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390"/>
        <w:jc w:val="both"/>
        <w:rPr>
          <w:rFonts w:ascii="Times New Roman" w:hAnsi="Times New Roman"/>
          <w:sz w:val="28"/>
          <w:szCs w:val="28"/>
        </w:rPr>
      </w:pPr>
      <w:r w:rsidRPr="00741B66">
        <w:rPr>
          <w:rStyle w:val="a7"/>
          <w:rFonts w:ascii="Times New Roman" w:hAnsi="Times New Roman"/>
          <w:b w:val="0"/>
          <w:color w:val="auto"/>
          <w:sz w:val="28"/>
          <w:szCs w:val="28"/>
        </w:rPr>
        <w:t>Нефинансовыми активами имущества казны</w:t>
      </w:r>
      <w:r w:rsidRPr="00741B66">
        <w:rPr>
          <w:rFonts w:ascii="Times New Roman" w:hAnsi="Times New Roman"/>
          <w:sz w:val="28"/>
          <w:szCs w:val="28"/>
        </w:rPr>
        <w:t xml:space="preserve"> являются основные средства, нематериальные активы, </w:t>
      </w:r>
      <w:proofErr w:type="spellStart"/>
      <w:r w:rsidRPr="00741B66">
        <w:rPr>
          <w:rFonts w:ascii="Times New Roman" w:hAnsi="Times New Roman"/>
          <w:sz w:val="28"/>
          <w:szCs w:val="28"/>
        </w:rPr>
        <w:t>непроизведенные</w:t>
      </w:r>
      <w:proofErr w:type="spellEnd"/>
      <w:r w:rsidRPr="00741B66">
        <w:rPr>
          <w:rFonts w:ascii="Times New Roman" w:hAnsi="Times New Roman"/>
          <w:sz w:val="28"/>
          <w:szCs w:val="28"/>
        </w:rPr>
        <w:t xml:space="preserve"> активы и материальные запасы.</w:t>
      </w:r>
    </w:p>
    <w:p w:rsidR="00741B66" w:rsidRPr="00741B66" w:rsidRDefault="00741B66" w:rsidP="00741B66">
      <w:pPr>
        <w:pStyle w:val="a6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390"/>
        <w:jc w:val="both"/>
        <w:rPr>
          <w:rFonts w:ascii="Times New Roman" w:hAnsi="Times New Roman"/>
          <w:sz w:val="28"/>
          <w:szCs w:val="28"/>
        </w:rPr>
      </w:pPr>
      <w:r w:rsidRPr="00741B66">
        <w:rPr>
          <w:rFonts w:ascii="Times New Roman" w:hAnsi="Times New Roman"/>
          <w:sz w:val="28"/>
          <w:szCs w:val="28"/>
        </w:rPr>
        <w:t>Источниками образования муниципальной казны может быть имущество:</w:t>
      </w:r>
    </w:p>
    <w:p w:rsidR="00741B66" w:rsidRPr="00741B66" w:rsidRDefault="00741B66" w:rsidP="00741B66">
      <w:pPr>
        <w:pStyle w:val="formattexttopleveltextindenttext"/>
        <w:spacing w:before="0" w:beforeAutospacing="0" w:after="0" w:afterAutospacing="0"/>
        <w:ind w:firstLine="993"/>
        <w:jc w:val="both"/>
        <w:textAlignment w:val="baseline"/>
        <w:rPr>
          <w:sz w:val="28"/>
          <w:szCs w:val="28"/>
        </w:rPr>
      </w:pPr>
      <w:r w:rsidRPr="00741B66">
        <w:rPr>
          <w:sz w:val="28"/>
          <w:szCs w:val="28"/>
        </w:rPr>
        <w:t xml:space="preserve">а) вновь </w:t>
      </w:r>
      <w:proofErr w:type="gramStart"/>
      <w:r w:rsidRPr="00741B66">
        <w:rPr>
          <w:sz w:val="28"/>
          <w:szCs w:val="28"/>
        </w:rPr>
        <w:t>созданное</w:t>
      </w:r>
      <w:proofErr w:type="gramEnd"/>
      <w:r w:rsidRPr="00741B66">
        <w:rPr>
          <w:sz w:val="28"/>
          <w:szCs w:val="28"/>
        </w:rPr>
        <w:t xml:space="preserve"> или приобретенное непосредственно в муниципальную собственность за счет средств бюджета сельского поселения;</w:t>
      </w:r>
    </w:p>
    <w:p w:rsidR="00741B66" w:rsidRPr="00741B66" w:rsidRDefault="00741B66" w:rsidP="00741B66">
      <w:pPr>
        <w:pStyle w:val="formattexttopleveltextindenttext"/>
        <w:tabs>
          <w:tab w:val="left" w:pos="1276"/>
        </w:tabs>
        <w:spacing w:before="0" w:beforeAutospacing="0" w:after="0" w:afterAutospacing="0"/>
        <w:ind w:firstLine="993"/>
        <w:jc w:val="both"/>
        <w:textAlignment w:val="baseline"/>
        <w:rPr>
          <w:sz w:val="28"/>
          <w:szCs w:val="28"/>
        </w:rPr>
      </w:pPr>
      <w:r w:rsidRPr="00741B66">
        <w:rPr>
          <w:sz w:val="28"/>
          <w:szCs w:val="28"/>
        </w:rPr>
        <w:t xml:space="preserve">б) </w:t>
      </w:r>
      <w:proofErr w:type="gramStart"/>
      <w:r w:rsidRPr="00741B66">
        <w:rPr>
          <w:sz w:val="28"/>
          <w:szCs w:val="28"/>
        </w:rPr>
        <w:t>переданное</w:t>
      </w:r>
      <w:proofErr w:type="gramEnd"/>
      <w:r w:rsidRPr="00741B66">
        <w:rPr>
          <w:sz w:val="28"/>
          <w:szCs w:val="28"/>
        </w:rPr>
        <w:t xml:space="preserve"> в муниципальную собственность в порядке, предусмотренном действующим законодательством о разграничении государственной собственности на федеральную собственность, собственность субъектов Российской Федерации и муниципальную собственность;</w:t>
      </w:r>
    </w:p>
    <w:p w:rsidR="00741B66" w:rsidRPr="00741B66" w:rsidRDefault="00741B66" w:rsidP="00741B66">
      <w:pPr>
        <w:pStyle w:val="formattexttopleveltextindenttext"/>
        <w:spacing w:before="0" w:beforeAutospacing="0" w:after="0" w:afterAutospacing="0"/>
        <w:ind w:firstLine="993"/>
        <w:jc w:val="both"/>
        <w:textAlignment w:val="baseline"/>
        <w:rPr>
          <w:sz w:val="28"/>
          <w:szCs w:val="28"/>
        </w:rPr>
      </w:pPr>
      <w:r w:rsidRPr="00741B66">
        <w:rPr>
          <w:sz w:val="28"/>
          <w:szCs w:val="28"/>
        </w:rPr>
        <w:t xml:space="preserve">в) </w:t>
      </w:r>
      <w:proofErr w:type="gramStart"/>
      <w:r w:rsidRPr="00741B66">
        <w:rPr>
          <w:sz w:val="28"/>
          <w:szCs w:val="28"/>
        </w:rPr>
        <w:t>переданное</w:t>
      </w:r>
      <w:proofErr w:type="gramEnd"/>
      <w:r w:rsidRPr="00741B66">
        <w:rPr>
          <w:sz w:val="28"/>
          <w:szCs w:val="28"/>
        </w:rPr>
        <w:t xml:space="preserve"> в муниципальную собственность в порядке, предусмотренном законодательством Томской области о разграничении муниципального имущества между муниципальными образованиями Томской области;</w:t>
      </w:r>
    </w:p>
    <w:p w:rsidR="00741B66" w:rsidRPr="00741B66" w:rsidRDefault="00741B66" w:rsidP="00741B66">
      <w:pPr>
        <w:pStyle w:val="formattexttopleveltextindenttext"/>
        <w:spacing w:before="0" w:beforeAutospacing="0" w:after="0" w:afterAutospacing="0"/>
        <w:ind w:firstLine="993"/>
        <w:jc w:val="both"/>
        <w:textAlignment w:val="baseline"/>
        <w:rPr>
          <w:sz w:val="28"/>
          <w:szCs w:val="28"/>
        </w:rPr>
      </w:pPr>
      <w:r w:rsidRPr="00741B66">
        <w:rPr>
          <w:sz w:val="28"/>
          <w:szCs w:val="28"/>
        </w:rPr>
        <w:t xml:space="preserve">г) </w:t>
      </w:r>
      <w:proofErr w:type="gramStart"/>
      <w:r w:rsidRPr="00741B66">
        <w:rPr>
          <w:sz w:val="28"/>
          <w:szCs w:val="28"/>
        </w:rPr>
        <w:t>переданное</w:t>
      </w:r>
      <w:proofErr w:type="gramEnd"/>
      <w:r w:rsidRPr="00741B66">
        <w:rPr>
          <w:sz w:val="28"/>
          <w:szCs w:val="28"/>
        </w:rPr>
        <w:t xml:space="preserve"> безвозмездно в муниципальную собственность юридическими и физическими лицами;</w:t>
      </w:r>
    </w:p>
    <w:p w:rsidR="00741B66" w:rsidRPr="00741B66" w:rsidRDefault="00741B66" w:rsidP="00741B66">
      <w:pPr>
        <w:pStyle w:val="formattexttopleveltextindenttext"/>
        <w:spacing w:before="0" w:beforeAutospacing="0" w:after="0" w:afterAutospacing="0"/>
        <w:ind w:firstLine="993"/>
        <w:jc w:val="both"/>
        <w:textAlignment w:val="baseline"/>
        <w:rPr>
          <w:sz w:val="28"/>
          <w:szCs w:val="28"/>
        </w:rPr>
      </w:pPr>
      <w:proofErr w:type="spellStart"/>
      <w:r w:rsidRPr="00741B66">
        <w:rPr>
          <w:sz w:val="28"/>
          <w:szCs w:val="28"/>
        </w:rPr>
        <w:lastRenderedPageBreak/>
        <w:t>д</w:t>
      </w:r>
      <w:proofErr w:type="spellEnd"/>
      <w:r w:rsidRPr="00741B66">
        <w:rPr>
          <w:sz w:val="28"/>
          <w:szCs w:val="28"/>
        </w:rPr>
        <w:t>) признанное в установленном порядке бесхозяйным и поступившее в этой связи в муниципальную собственность, а также приобретенное в порядке признания права собственности по решению суда;</w:t>
      </w:r>
    </w:p>
    <w:p w:rsidR="00741B66" w:rsidRPr="00741B66" w:rsidRDefault="00741B66" w:rsidP="00741B66">
      <w:pPr>
        <w:pStyle w:val="formattexttopleveltextindenttext"/>
        <w:spacing w:before="0" w:beforeAutospacing="0" w:after="0" w:afterAutospacing="0"/>
        <w:ind w:firstLine="993"/>
        <w:jc w:val="both"/>
        <w:textAlignment w:val="baseline"/>
        <w:rPr>
          <w:sz w:val="28"/>
          <w:szCs w:val="28"/>
        </w:rPr>
      </w:pPr>
      <w:r w:rsidRPr="00741B66">
        <w:rPr>
          <w:sz w:val="28"/>
          <w:szCs w:val="28"/>
        </w:rPr>
        <w:t xml:space="preserve">е) </w:t>
      </w:r>
      <w:proofErr w:type="gramStart"/>
      <w:r w:rsidRPr="00741B66">
        <w:rPr>
          <w:sz w:val="28"/>
          <w:szCs w:val="28"/>
        </w:rPr>
        <w:t>поступившее</w:t>
      </w:r>
      <w:proofErr w:type="gramEnd"/>
      <w:r w:rsidRPr="00741B66">
        <w:rPr>
          <w:sz w:val="28"/>
          <w:szCs w:val="28"/>
        </w:rPr>
        <w:t xml:space="preserve"> в муниципальную собственность по другим основаниям, предусмотренным действующим законодательством.</w:t>
      </w:r>
    </w:p>
    <w:p w:rsidR="00741B66" w:rsidRPr="00741B66" w:rsidRDefault="00741B66" w:rsidP="00741B66">
      <w:pPr>
        <w:pStyle w:val="formattexttopleveltextindenttext"/>
        <w:spacing w:before="0" w:beforeAutospacing="0" w:after="0" w:afterAutospacing="0"/>
        <w:ind w:firstLine="993"/>
        <w:jc w:val="both"/>
        <w:textAlignment w:val="baseline"/>
        <w:rPr>
          <w:sz w:val="28"/>
          <w:szCs w:val="28"/>
        </w:rPr>
      </w:pPr>
    </w:p>
    <w:p w:rsidR="00741B66" w:rsidRPr="00741B66" w:rsidRDefault="00741B66" w:rsidP="00741B66">
      <w:pPr>
        <w:pStyle w:val="3"/>
        <w:spacing w:before="0" w:after="0"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741B66">
        <w:rPr>
          <w:rFonts w:ascii="Times New Roman" w:hAnsi="Times New Roman"/>
          <w:sz w:val="28"/>
          <w:szCs w:val="28"/>
        </w:rPr>
        <w:t xml:space="preserve">3. Отражение в бюджетном учете операций </w:t>
      </w:r>
    </w:p>
    <w:p w:rsidR="00741B66" w:rsidRPr="00741B66" w:rsidRDefault="00741B66" w:rsidP="00741B66">
      <w:pPr>
        <w:pStyle w:val="3"/>
        <w:spacing w:before="0" w:after="0"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741B66">
        <w:rPr>
          <w:rFonts w:ascii="Times New Roman" w:hAnsi="Times New Roman"/>
          <w:sz w:val="28"/>
          <w:szCs w:val="28"/>
        </w:rPr>
        <w:t xml:space="preserve">с объектами нефинансовых активов имущества казны </w:t>
      </w:r>
    </w:p>
    <w:p w:rsidR="00741B66" w:rsidRPr="00741B66" w:rsidRDefault="00741B66" w:rsidP="00741B6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41B66" w:rsidRPr="00741B66" w:rsidRDefault="00741B66" w:rsidP="00741B66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41B66">
        <w:rPr>
          <w:sz w:val="28"/>
          <w:szCs w:val="28"/>
        </w:rPr>
        <w:t>3.1. Объекты казны принимаются к бюджетному учету по их первоначальной стоимости.</w:t>
      </w:r>
    </w:p>
    <w:p w:rsidR="00741B66" w:rsidRPr="00741B66" w:rsidRDefault="00741B66" w:rsidP="00741B66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41B66">
        <w:rPr>
          <w:sz w:val="28"/>
          <w:szCs w:val="28"/>
        </w:rPr>
        <w:t xml:space="preserve">3.2. </w:t>
      </w:r>
      <w:proofErr w:type="gramStart"/>
      <w:r w:rsidRPr="00741B66">
        <w:rPr>
          <w:sz w:val="28"/>
          <w:szCs w:val="28"/>
        </w:rPr>
        <w:t xml:space="preserve">Первоначальной стоимостью объектов казны, за исключением </w:t>
      </w:r>
      <w:proofErr w:type="spellStart"/>
      <w:r w:rsidRPr="00741B66">
        <w:rPr>
          <w:sz w:val="28"/>
          <w:szCs w:val="28"/>
        </w:rPr>
        <w:t>непроизведенных</w:t>
      </w:r>
      <w:proofErr w:type="spellEnd"/>
      <w:r w:rsidRPr="00741B66">
        <w:rPr>
          <w:sz w:val="28"/>
          <w:szCs w:val="28"/>
        </w:rPr>
        <w:t xml:space="preserve"> активов, признается сумма фактических затрат при приобретении в результате обменных операций, сооружении или изготовлении (создании) нефинансовых активов с учетом сумм налога на добавленную стоимость, предъявленных учреждению поставщиками и (или) подрядчиками (кроме их приобретения, сооружения и изготовления нефинансовых активов в рамках деятельности учреждения, облагаемой НДС, если иное не предусмотрено законодательством Российской Федерации о налогах</w:t>
      </w:r>
      <w:proofErr w:type="gramEnd"/>
      <w:r w:rsidRPr="00741B66">
        <w:rPr>
          <w:sz w:val="28"/>
          <w:szCs w:val="28"/>
        </w:rPr>
        <w:t xml:space="preserve"> и </w:t>
      </w:r>
      <w:proofErr w:type="gramStart"/>
      <w:r w:rsidRPr="00741B66">
        <w:rPr>
          <w:sz w:val="28"/>
          <w:szCs w:val="28"/>
        </w:rPr>
        <w:t>сборах</w:t>
      </w:r>
      <w:proofErr w:type="gramEnd"/>
      <w:r w:rsidRPr="00741B66">
        <w:rPr>
          <w:sz w:val="28"/>
          <w:szCs w:val="28"/>
        </w:rPr>
        <w:t>).</w:t>
      </w:r>
    </w:p>
    <w:p w:rsidR="00741B66" w:rsidRPr="00741B66" w:rsidRDefault="00741B66" w:rsidP="00741B66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41B66">
        <w:rPr>
          <w:sz w:val="28"/>
          <w:szCs w:val="28"/>
        </w:rPr>
        <w:t xml:space="preserve">3.3. Первоначальной стоимостью объектов </w:t>
      </w:r>
      <w:proofErr w:type="spellStart"/>
      <w:r w:rsidRPr="00741B66">
        <w:rPr>
          <w:sz w:val="28"/>
          <w:szCs w:val="28"/>
        </w:rPr>
        <w:t>непроизведенных</w:t>
      </w:r>
      <w:proofErr w:type="spellEnd"/>
      <w:r w:rsidRPr="00741B66">
        <w:rPr>
          <w:sz w:val="28"/>
          <w:szCs w:val="28"/>
        </w:rPr>
        <w:t xml:space="preserve"> активов казны признается их кадастровая стоимость на дату принятия к бухгалтерскому учету.</w:t>
      </w:r>
    </w:p>
    <w:p w:rsidR="00741B66" w:rsidRPr="00741B66" w:rsidRDefault="00741B66" w:rsidP="00741B66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41B66">
        <w:rPr>
          <w:sz w:val="28"/>
          <w:szCs w:val="28"/>
        </w:rPr>
        <w:t xml:space="preserve">3.4. Первоначальной стоимостью объектов казны, полученных по договорам, предусматривающим исполнение обязательств (оплату) </w:t>
      </w:r>
      <w:proofErr w:type="spellStart"/>
      <w:r w:rsidRPr="00741B66">
        <w:rPr>
          <w:sz w:val="28"/>
          <w:szCs w:val="28"/>
        </w:rPr>
        <w:t>неденежными</w:t>
      </w:r>
      <w:proofErr w:type="spellEnd"/>
      <w:r w:rsidRPr="00741B66">
        <w:rPr>
          <w:sz w:val="28"/>
          <w:szCs w:val="28"/>
        </w:rPr>
        <w:t xml:space="preserve"> средствами, признается стоимость ценностей, переданных или подлежащих передаче в целях исполнения обязательств по договору.</w:t>
      </w:r>
    </w:p>
    <w:p w:rsidR="00741B66" w:rsidRPr="00741B66" w:rsidRDefault="00741B66" w:rsidP="00741B66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41B66">
        <w:rPr>
          <w:sz w:val="28"/>
          <w:szCs w:val="28"/>
        </w:rPr>
        <w:t xml:space="preserve">3.5. Объекты казны, полученные субъектом учета (в результате необменных операций) от собственника (учредителя), иной организации государственного сектора, подлежат признанию в бухгалтерском учете в оценке, определенной передающей стороной (собственником, учредителем) - по стоимости, отраженной в передаточных документах. </w:t>
      </w:r>
      <w:proofErr w:type="gramStart"/>
      <w:r w:rsidRPr="00741B66">
        <w:rPr>
          <w:sz w:val="28"/>
          <w:szCs w:val="28"/>
        </w:rPr>
        <w:t>При отсутствии информации о стоимости в передаточных документах первоначальной стоимостью объектов казны, полученных по необменной операции (безвозмездно, в том числе по договору дарения), является их текущая оценочная стоимость на дату принятия к бухгалтерскому учету, признаваемая справедливой стоимостью указанного объекта казны, увеличенная на стоимость услуг, связанных с их доставкой, регистрацией и приведением их в состояние, пригодное для использования.</w:t>
      </w:r>
      <w:proofErr w:type="gramEnd"/>
      <w:r w:rsidRPr="00741B66">
        <w:rPr>
          <w:sz w:val="28"/>
          <w:szCs w:val="28"/>
        </w:rPr>
        <w:t xml:space="preserve"> Определение текущей оценочной стоимости объектов казны осуществляется методом рыночных цен на основании данных о сделках с аналогичным или схожим объектом, совершенных без отсрочки платежа, и определяется в сумме денежных средств, необходимых при продаже (приобретении) указанных объектов на дату принятия к учету.</w:t>
      </w:r>
    </w:p>
    <w:p w:rsidR="00741B66" w:rsidRPr="00741B66" w:rsidRDefault="00741B66" w:rsidP="00741B66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41B66">
        <w:rPr>
          <w:sz w:val="28"/>
          <w:szCs w:val="28"/>
        </w:rPr>
        <w:t>Определение текущей оценочной стоимости в целях принятия к бухгалтерскому учету объекта казны производится на основе цены, действующей на дату принятия к учету (</w:t>
      </w:r>
      <w:proofErr w:type="spellStart"/>
      <w:r w:rsidRPr="00741B66">
        <w:rPr>
          <w:sz w:val="28"/>
          <w:szCs w:val="28"/>
        </w:rPr>
        <w:t>оприходования</w:t>
      </w:r>
      <w:proofErr w:type="spellEnd"/>
      <w:r w:rsidRPr="00741B66">
        <w:rPr>
          <w:sz w:val="28"/>
          <w:szCs w:val="28"/>
        </w:rPr>
        <w:t>) имущества, полученного безвозмездно, на данный или аналогичный вид имущества. Данные о действующей цене должны быть подтверждены документально, а в случаях невозможности документального подтверждения - экспертным путем.</w:t>
      </w:r>
    </w:p>
    <w:p w:rsidR="00741B66" w:rsidRPr="00741B66" w:rsidRDefault="00741B66" w:rsidP="00741B66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41B66">
        <w:rPr>
          <w:sz w:val="28"/>
          <w:szCs w:val="28"/>
        </w:rPr>
        <w:lastRenderedPageBreak/>
        <w:t xml:space="preserve">При определении текущей оценочной стоимости в целях принятия к бухгалтерскому учету объекта казны комиссией по поступлению и выбытию активов (далее - комиссия) используются данные о ценах на аналогичные материальные ценности, полученные в письменной форме от организаций-изготовителей; </w:t>
      </w:r>
      <w:proofErr w:type="gramStart"/>
      <w:r w:rsidRPr="00741B66">
        <w:rPr>
          <w:sz w:val="28"/>
          <w:szCs w:val="28"/>
        </w:rPr>
        <w:t>сведения об уровне цен, имеющиеся у органов государственной статистики, а также в средствах массовой информации и специальной литературе, экспертные заключения о стоимости отдельных (аналогичных) объектов нефинансовых активов.</w:t>
      </w:r>
      <w:proofErr w:type="gramEnd"/>
    </w:p>
    <w:p w:rsidR="00741B66" w:rsidRPr="00741B66" w:rsidRDefault="00741B66" w:rsidP="00741B66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41B66">
        <w:rPr>
          <w:sz w:val="28"/>
          <w:szCs w:val="28"/>
        </w:rPr>
        <w:t>В случае</w:t>
      </w:r>
      <w:proofErr w:type="gramStart"/>
      <w:r w:rsidRPr="00741B66">
        <w:rPr>
          <w:sz w:val="28"/>
          <w:szCs w:val="28"/>
        </w:rPr>
        <w:t>,</w:t>
      </w:r>
      <w:proofErr w:type="gramEnd"/>
      <w:r w:rsidRPr="00741B66">
        <w:rPr>
          <w:sz w:val="28"/>
          <w:szCs w:val="28"/>
        </w:rPr>
        <w:t xml:space="preserve"> если данные о ценах на аналогичные либо схожие материальные ценности по каким-либо причинам недоступны,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текущая оценочная стоимость признается в условной оценке, равной одному рублю. При этом указанные материальные ценности, соответствующие критериям признания активов, отражаются на балансовых счетах в условной оценке: один объект, один рубль.</w:t>
      </w:r>
    </w:p>
    <w:p w:rsidR="00741B66" w:rsidRPr="00741B66" w:rsidRDefault="00741B66" w:rsidP="00741B66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41B66">
        <w:rPr>
          <w:sz w:val="28"/>
          <w:szCs w:val="28"/>
        </w:rPr>
        <w:t>После получения данных о ценах на аналогичные либо схожие материальные ценности по объекту нефинансового актива (материальной ценности), отраженных на дату признания в условной оценке, комиссией осуществляется пересмотр балансовой (справедливой) стоимости такого объекта. Проверка наличия данных о ценах на аналогичные либо схожие материальные ценности по объекту нефинансового актива (материальной ценности) осуществляется ежегодно, перед составлением годовой бюджетной отчетности.</w:t>
      </w:r>
    </w:p>
    <w:p w:rsidR="00741B66" w:rsidRPr="00741B66" w:rsidRDefault="00741B66" w:rsidP="00741B66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41B66">
        <w:rPr>
          <w:sz w:val="28"/>
          <w:szCs w:val="28"/>
        </w:rPr>
        <w:t>3.6. Балансовой стоимостью объектов казны является их первоначальная стоимость с учетом ее изменений.</w:t>
      </w:r>
    </w:p>
    <w:p w:rsidR="00741B66" w:rsidRPr="00741B66" w:rsidRDefault="00741B66" w:rsidP="00741B66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41B66">
        <w:rPr>
          <w:sz w:val="28"/>
          <w:szCs w:val="28"/>
        </w:rPr>
        <w:t>3.7. Изменение первоначальной (балансовой) стоимости объектов казны производится в случаях достройки, дооборудования, реконструкции, в том числе с элементами реставрации, технического перевооружения, модернизации, частичной ликвидации (</w:t>
      </w:r>
      <w:proofErr w:type="spellStart"/>
      <w:r w:rsidRPr="00741B66">
        <w:rPr>
          <w:sz w:val="28"/>
          <w:szCs w:val="28"/>
        </w:rPr>
        <w:t>разукомплектации</w:t>
      </w:r>
      <w:proofErr w:type="spellEnd"/>
      <w:r w:rsidRPr="00741B66">
        <w:rPr>
          <w:sz w:val="28"/>
          <w:szCs w:val="28"/>
        </w:rPr>
        <w:t>), а также переоценки объектов казны.</w:t>
      </w:r>
    </w:p>
    <w:p w:rsidR="00741B66" w:rsidRPr="00741B66" w:rsidRDefault="00741B66" w:rsidP="00741B66">
      <w:pPr>
        <w:pStyle w:val="formattexttopleveltextindenttext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741B66">
        <w:rPr>
          <w:sz w:val="28"/>
          <w:szCs w:val="28"/>
        </w:rPr>
        <w:t>3.8. Отражение в бюджетном учете операций с объектами казны осуществляется на счетах бюджетного учета с установлением дополнительных разрядов (подвида) в коде аналитического счета плана счетов бюджетного учета в соответствии с приложением 1 к настоящему Порядку.</w:t>
      </w:r>
    </w:p>
    <w:p w:rsidR="00741B66" w:rsidRPr="00741B66" w:rsidRDefault="00741B66" w:rsidP="00741B66">
      <w:pPr>
        <w:pStyle w:val="formattexttopleveltextindenttext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741B66">
        <w:rPr>
          <w:sz w:val="28"/>
          <w:szCs w:val="28"/>
        </w:rPr>
        <w:t xml:space="preserve">3.9. </w:t>
      </w:r>
      <w:r w:rsidRPr="00F46C35">
        <w:rPr>
          <w:sz w:val="28"/>
          <w:szCs w:val="28"/>
        </w:rPr>
        <w:t>Периодичность отражения в бюджетном учете операций с объектами казны на основании информации из реестра имущества казны осуществляется ежемесячно.</w:t>
      </w:r>
    </w:p>
    <w:p w:rsidR="00741B66" w:rsidRPr="00741B66" w:rsidRDefault="00741B66" w:rsidP="00741B66">
      <w:pPr>
        <w:pStyle w:val="formattexttopleveltextindenttext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741B66">
        <w:rPr>
          <w:sz w:val="28"/>
          <w:szCs w:val="28"/>
        </w:rPr>
        <w:t>3.10. Объекты имущества муниципальной казны отражаются в бюджетном учете в стоимостном выражении с ведением инвентарного и аналитического учета.</w:t>
      </w:r>
    </w:p>
    <w:p w:rsidR="00741B66" w:rsidRPr="00741B66" w:rsidRDefault="00741B66" w:rsidP="00741B66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41B66">
        <w:rPr>
          <w:sz w:val="28"/>
          <w:szCs w:val="28"/>
        </w:rPr>
        <w:t>3.11. Единицей бюджетного учета объектов муниципальной казны является инвентарный объект.</w:t>
      </w:r>
    </w:p>
    <w:p w:rsidR="00741B66" w:rsidRPr="00741B66" w:rsidRDefault="00741B66" w:rsidP="00741B66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41B66">
        <w:rPr>
          <w:sz w:val="28"/>
          <w:szCs w:val="28"/>
        </w:rPr>
        <w:t>3.12. Каждому инвентарному объекту имущества муниципальной казны независимо от того, находится ли он в эксплуатации, в запасе или в консервации, присваивается уникальный инвентарный номер, который используется исключительно в регистрах бюджетного учета без нанесения на объект.</w:t>
      </w:r>
    </w:p>
    <w:p w:rsidR="00741B66" w:rsidRPr="00F46C35" w:rsidRDefault="00741B66" w:rsidP="00741B66">
      <w:pPr>
        <w:pStyle w:val="formattexttopleveltextindenttext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F46C35">
        <w:rPr>
          <w:sz w:val="28"/>
          <w:szCs w:val="28"/>
        </w:rPr>
        <w:t xml:space="preserve">3.13. Аналитический учет объектов имущества муниципальной казны осуществляется в структуре, установленной для ведения Реестра муниципального </w:t>
      </w:r>
      <w:r w:rsidRPr="00F46C35">
        <w:rPr>
          <w:sz w:val="28"/>
          <w:szCs w:val="28"/>
        </w:rPr>
        <w:lastRenderedPageBreak/>
        <w:t>имущества (далее - Реестр) и ведется в инвентарных карточках в программе, предназначенной для ведения бюджетного учета.</w:t>
      </w:r>
    </w:p>
    <w:p w:rsidR="00F47873" w:rsidRPr="00741B66" w:rsidRDefault="00F47873" w:rsidP="00741B66">
      <w:pPr>
        <w:pStyle w:val="formattexttopleveltextindenttext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F46C35">
        <w:rPr>
          <w:sz w:val="28"/>
          <w:szCs w:val="28"/>
        </w:rPr>
        <w:t>Объекты имущества муниципальной казны отражаются в бюджетном учете в стоимостном выражении с указанием реестрового номера имущества в реестре муниципального имущества. В целях контроля соответствия учетных данных по объектам нефинансовых активов, составляющих муниципальную казну, сформированных в результате отражения операций, изменяющих показатели в денежном (стоимостном) выражении указанных активов на соответствующих счетах аналитического учета Рабочего плана счетов, осуществляется сверка учетных данных с данными реестра муниципального имущества.</w:t>
      </w:r>
    </w:p>
    <w:p w:rsidR="00741B66" w:rsidRPr="00741B66" w:rsidRDefault="00741B66" w:rsidP="00741B66">
      <w:pPr>
        <w:pStyle w:val="formattexttopleveltextindenttext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741B66">
        <w:rPr>
          <w:sz w:val="28"/>
          <w:szCs w:val="28"/>
        </w:rPr>
        <w:t xml:space="preserve">  3.14. Поступление (выбытие) объектов имущества (нефинансовых активов) муниципальной казны отражается в бюджетном учете на основании следующих документов:</w:t>
      </w:r>
    </w:p>
    <w:p w:rsidR="00741B66" w:rsidRPr="00741B66" w:rsidRDefault="00741B66" w:rsidP="00741B66">
      <w:pPr>
        <w:pStyle w:val="formattexttopleveltextinden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41B66">
        <w:rPr>
          <w:sz w:val="28"/>
          <w:szCs w:val="28"/>
        </w:rPr>
        <w:t xml:space="preserve">а) постановления (распоряжения) главы Администрации </w:t>
      </w:r>
    </w:p>
    <w:p w:rsidR="00741B66" w:rsidRPr="00741B66" w:rsidRDefault="00741B66" w:rsidP="00741B66">
      <w:pPr>
        <w:pStyle w:val="formattexttopleveltextinden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41B66">
        <w:rPr>
          <w:sz w:val="28"/>
          <w:szCs w:val="28"/>
        </w:rPr>
        <w:t>б) договоры;</w:t>
      </w:r>
    </w:p>
    <w:p w:rsidR="00741B66" w:rsidRPr="00741B66" w:rsidRDefault="00741B66" w:rsidP="00741B66">
      <w:pPr>
        <w:pStyle w:val="formattexttopleveltextinden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41B66">
        <w:rPr>
          <w:sz w:val="28"/>
          <w:szCs w:val="28"/>
        </w:rPr>
        <w:t>в) решения суда;</w:t>
      </w:r>
    </w:p>
    <w:p w:rsidR="00741B66" w:rsidRPr="00741B66" w:rsidRDefault="00741B66" w:rsidP="00741B66">
      <w:pPr>
        <w:pStyle w:val="formattexttopleveltextinden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41B66">
        <w:rPr>
          <w:sz w:val="28"/>
          <w:szCs w:val="28"/>
        </w:rPr>
        <w:t>г) документы, подтверждающие государственную регистрацию в установленных законодательством случаях;</w:t>
      </w:r>
    </w:p>
    <w:p w:rsidR="00741B66" w:rsidRPr="00741B66" w:rsidRDefault="00741B66" w:rsidP="00741B66">
      <w:pPr>
        <w:pStyle w:val="formattexttopleveltextinden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741B66">
        <w:rPr>
          <w:sz w:val="28"/>
          <w:szCs w:val="28"/>
        </w:rPr>
        <w:t>д</w:t>
      </w:r>
      <w:proofErr w:type="spellEnd"/>
      <w:r w:rsidRPr="00741B66">
        <w:rPr>
          <w:sz w:val="28"/>
          <w:szCs w:val="28"/>
        </w:rPr>
        <w:t>) первичные учетные документы.</w:t>
      </w:r>
    </w:p>
    <w:p w:rsidR="00741B66" w:rsidRPr="00741B66" w:rsidRDefault="00741B66" w:rsidP="00741B66">
      <w:pPr>
        <w:pStyle w:val="formattexttopleveltextindenttext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741B66">
        <w:rPr>
          <w:sz w:val="28"/>
          <w:szCs w:val="28"/>
        </w:rPr>
        <w:t xml:space="preserve">3.15. </w:t>
      </w:r>
      <w:r w:rsidRPr="00741B66">
        <w:rPr>
          <w:sz w:val="28"/>
          <w:szCs w:val="28"/>
          <w:shd w:val="clear" w:color="auto" w:fill="FFFFFF"/>
        </w:rPr>
        <w:t>Учет операций по поступлению имущества казны (нефинансовых активов), ведется в Журнале операций по выбытию и перемещению нефинансовых активов.</w:t>
      </w:r>
    </w:p>
    <w:p w:rsidR="00741B66" w:rsidRPr="00741B66" w:rsidRDefault="00741B66" w:rsidP="00741B66">
      <w:pPr>
        <w:pStyle w:val="formattexttopleveltextindenttext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741B66">
        <w:rPr>
          <w:sz w:val="28"/>
          <w:szCs w:val="28"/>
        </w:rPr>
        <w:t xml:space="preserve">3.16. </w:t>
      </w:r>
      <w:r w:rsidRPr="00741B66">
        <w:rPr>
          <w:sz w:val="28"/>
          <w:szCs w:val="28"/>
          <w:shd w:val="clear" w:color="auto" w:fill="FFFFFF"/>
        </w:rPr>
        <w:t>Учет операций по выбытию, перемещению имущества (нефинансовых активов), ведется в Журнале операций по выбытию и перемещению нефинансовых активов.</w:t>
      </w:r>
    </w:p>
    <w:p w:rsidR="00741B66" w:rsidRPr="00741B66" w:rsidRDefault="00741B66" w:rsidP="00741B66">
      <w:pPr>
        <w:pStyle w:val="formattexttopleveltextindenttext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741B66">
        <w:rPr>
          <w:sz w:val="28"/>
          <w:szCs w:val="28"/>
        </w:rPr>
        <w:t xml:space="preserve">3.18. Передача имущества казны в операционную аренду, безвозмездное пользование (срочное), доверительное управление, а также на хранение отражается на основании первичного учетного документа (акта) на счете 108 00 путем внутреннего перемещения объекта нефинансовых активов. Одновременно балансовая стоимость переданного имущества отражается на </w:t>
      </w:r>
      <w:proofErr w:type="spellStart"/>
      <w:r w:rsidRPr="00741B66">
        <w:rPr>
          <w:sz w:val="28"/>
          <w:szCs w:val="28"/>
        </w:rPr>
        <w:t>забалансовых</w:t>
      </w:r>
      <w:proofErr w:type="spellEnd"/>
      <w:r w:rsidRPr="00741B66">
        <w:rPr>
          <w:sz w:val="28"/>
          <w:szCs w:val="28"/>
        </w:rPr>
        <w:t xml:space="preserve"> счетах по соответствующим группам (видам) нефинансовых активов.</w:t>
      </w:r>
    </w:p>
    <w:p w:rsidR="00F46C35" w:rsidRDefault="00741B66" w:rsidP="00F46C35">
      <w:pPr>
        <w:pStyle w:val="formattexttopleveltextindenttext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741B66">
        <w:rPr>
          <w:sz w:val="28"/>
          <w:szCs w:val="28"/>
        </w:rPr>
        <w:t xml:space="preserve">3.19. </w:t>
      </w:r>
      <w:proofErr w:type="gramStart"/>
      <w:r w:rsidRPr="00741B66">
        <w:rPr>
          <w:sz w:val="28"/>
          <w:szCs w:val="28"/>
        </w:rPr>
        <w:t xml:space="preserve">Стоимость переданного в доверительное управление имущества отражается на </w:t>
      </w:r>
      <w:proofErr w:type="spellStart"/>
      <w:r w:rsidRPr="00741B66">
        <w:rPr>
          <w:sz w:val="28"/>
          <w:szCs w:val="28"/>
        </w:rPr>
        <w:t>забалансовом</w:t>
      </w:r>
      <w:proofErr w:type="spellEnd"/>
      <w:r w:rsidRPr="00741B66">
        <w:rPr>
          <w:sz w:val="28"/>
          <w:szCs w:val="28"/>
        </w:rPr>
        <w:t xml:space="preserve"> счете 24, в возмездное пользование в операционную аренду (в части предоставленных прав пользования имуществом) - на </w:t>
      </w:r>
      <w:proofErr w:type="spellStart"/>
      <w:r w:rsidRPr="00741B66">
        <w:rPr>
          <w:sz w:val="28"/>
          <w:szCs w:val="28"/>
        </w:rPr>
        <w:t>забалансовом</w:t>
      </w:r>
      <w:proofErr w:type="spellEnd"/>
      <w:r w:rsidRPr="00741B66">
        <w:rPr>
          <w:sz w:val="28"/>
          <w:szCs w:val="28"/>
        </w:rPr>
        <w:t xml:space="preserve"> счете 25, в безвозмездное пользование в операционную аренду (в части предоставленных прав пользования имуществом), а также имущества, переданного в пользование для обеспечения деятельности получателя имущества, - на </w:t>
      </w:r>
      <w:proofErr w:type="spellStart"/>
      <w:r w:rsidRPr="00741B66">
        <w:rPr>
          <w:sz w:val="28"/>
          <w:szCs w:val="28"/>
        </w:rPr>
        <w:t>забалансовом</w:t>
      </w:r>
      <w:proofErr w:type="spellEnd"/>
      <w:r w:rsidRPr="00741B66">
        <w:rPr>
          <w:sz w:val="28"/>
          <w:szCs w:val="28"/>
        </w:rPr>
        <w:t xml:space="preserve"> счете 26.</w:t>
      </w:r>
      <w:proofErr w:type="gramEnd"/>
      <w:r w:rsidRPr="00741B66">
        <w:rPr>
          <w:sz w:val="28"/>
          <w:szCs w:val="28"/>
        </w:rPr>
        <w:t xml:space="preserve"> При такой передаче имущество не выбыв</w:t>
      </w:r>
      <w:bookmarkStart w:id="0" w:name="sub_1016"/>
      <w:r w:rsidRPr="00741B66">
        <w:rPr>
          <w:sz w:val="28"/>
          <w:szCs w:val="28"/>
        </w:rPr>
        <w:t>ает из состава имущества казны.</w:t>
      </w:r>
      <w:bookmarkStart w:id="1" w:name="sub_1019"/>
      <w:bookmarkEnd w:id="0"/>
    </w:p>
    <w:p w:rsidR="00F46C35" w:rsidRDefault="00F46C35" w:rsidP="00F46C35">
      <w:pPr>
        <w:pStyle w:val="formattexttopleveltextindenttext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3.20. </w:t>
      </w:r>
      <w:r w:rsidR="00741B66" w:rsidRPr="00F46C35">
        <w:rPr>
          <w:sz w:val="28"/>
          <w:szCs w:val="28"/>
        </w:rPr>
        <w:t xml:space="preserve">Нефинансовые активы имущества казны </w:t>
      </w:r>
      <w:proofErr w:type="spellStart"/>
      <w:r w:rsidR="00741B66" w:rsidRPr="00F46C35">
        <w:rPr>
          <w:sz w:val="28"/>
          <w:szCs w:val="28"/>
        </w:rPr>
        <w:t>реклассифицируются</w:t>
      </w:r>
      <w:proofErr w:type="spellEnd"/>
      <w:r w:rsidR="00741B66" w:rsidRPr="00F46C35">
        <w:rPr>
          <w:sz w:val="28"/>
          <w:szCs w:val="28"/>
        </w:rPr>
        <w:t xml:space="preserve"> в иную группу нефинансовых активов имущества казны, в случае изменения целей их будущего использования.</w:t>
      </w:r>
      <w:bookmarkEnd w:id="1"/>
    </w:p>
    <w:p w:rsidR="00741B66" w:rsidRPr="00F46C35" w:rsidRDefault="00F46C35" w:rsidP="00F46C35">
      <w:pPr>
        <w:pStyle w:val="formattexttopleveltextindenttext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3.21. </w:t>
      </w:r>
      <w:r w:rsidR="00741B66" w:rsidRPr="00F46C35">
        <w:rPr>
          <w:sz w:val="28"/>
          <w:szCs w:val="28"/>
        </w:rPr>
        <w:t xml:space="preserve">Выбытие нефинансового актива имущества казны из одной группы и отражение его в другой группе нефинансовых активов в случае </w:t>
      </w:r>
      <w:proofErr w:type="spellStart"/>
      <w:r w:rsidR="00741B66" w:rsidRPr="00F46C35">
        <w:rPr>
          <w:sz w:val="28"/>
          <w:szCs w:val="28"/>
        </w:rPr>
        <w:t>реклассификации</w:t>
      </w:r>
      <w:proofErr w:type="spellEnd"/>
      <w:r w:rsidR="00741B66" w:rsidRPr="00F46C35">
        <w:rPr>
          <w:sz w:val="28"/>
          <w:szCs w:val="28"/>
        </w:rPr>
        <w:t xml:space="preserve"> отражается в бюджетном учете одновременно.</w:t>
      </w:r>
    </w:p>
    <w:p w:rsidR="00741B66" w:rsidRPr="00741B66" w:rsidRDefault="00741B66" w:rsidP="00741B66">
      <w:pPr>
        <w:pStyle w:val="a6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41B66">
        <w:rPr>
          <w:rFonts w:ascii="Times New Roman" w:hAnsi="Times New Roman"/>
          <w:sz w:val="28"/>
          <w:szCs w:val="28"/>
        </w:rPr>
        <w:t xml:space="preserve">Перевод нефинансового актива имущества казны в иную группу нефинансовых активов в связи с его </w:t>
      </w:r>
      <w:proofErr w:type="spellStart"/>
      <w:r w:rsidRPr="00741B66">
        <w:rPr>
          <w:rFonts w:ascii="Times New Roman" w:hAnsi="Times New Roman"/>
          <w:sz w:val="28"/>
          <w:szCs w:val="28"/>
        </w:rPr>
        <w:t>реклассификацией</w:t>
      </w:r>
      <w:proofErr w:type="spellEnd"/>
      <w:r w:rsidRPr="00741B66">
        <w:rPr>
          <w:rFonts w:ascii="Times New Roman" w:hAnsi="Times New Roman"/>
          <w:sz w:val="28"/>
          <w:szCs w:val="28"/>
        </w:rPr>
        <w:t xml:space="preserve"> не приводит к изменению </w:t>
      </w:r>
      <w:r w:rsidRPr="00741B66">
        <w:rPr>
          <w:rFonts w:ascii="Times New Roman" w:hAnsi="Times New Roman"/>
          <w:sz w:val="28"/>
          <w:szCs w:val="28"/>
        </w:rPr>
        <w:lastRenderedPageBreak/>
        <w:t xml:space="preserve">его </w:t>
      </w:r>
      <w:proofErr w:type="gramStart"/>
      <w:r w:rsidRPr="00741B66">
        <w:rPr>
          <w:rFonts w:ascii="Times New Roman" w:hAnsi="Times New Roman"/>
          <w:sz w:val="28"/>
          <w:szCs w:val="28"/>
        </w:rPr>
        <w:t>стоимости</w:t>
      </w:r>
      <w:proofErr w:type="gramEnd"/>
      <w:r w:rsidRPr="00741B66">
        <w:rPr>
          <w:rFonts w:ascii="Times New Roman" w:hAnsi="Times New Roman"/>
          <w:sz w:val="28"/>
          <w:szCs w:val="28"/>
        </w:rPr>
        <w:t xml:space="preserve"> как в бюджетном учете, так и для целей оценки и раскрытия информации в бюджетной отчетности на момент </w:t>
      </w:r>
      <w:proofErr w:type="spellStart"/>
      <w:r w:rsidRPr="00741B66">
        <w:rPr>
          <w:rFonts w:ascii="Times New Roman" w:hAnsi="Times New Roman"/>
          <w:sz w:val="28"/>
          <w:szCs w:val="28"/>
        </w:rPr>
        <w:t>реклассификации</w:t>
      </w:r>
      <w:proofErr w:type="spellEnd"/>
      <w:r w:rsidRPr="00741B66">
        <w:rPr>
          <w:rFonts w:ascii="Times New Roman" w:hAnsi="Times New Roman"/>
          <w:sz w:val="28"/>
          <w:szCs w:val="28"/>
        </w:rPr>
        <w:t>.</w:t>
      </w:r>
    </w:p>
    <w:p w:rsidR="00741B66" w:rsidRPr="00741B66" w:rsidRDefault="00741B66" w:rsidP="00741B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B66">
        <w:rPr>
          <w:rFonts w:ascii="Times New Roman" w:hAnsi="Times New Roman" w:cs="Times New Roman"/>
          <w:sz w:val="28"/>
          <w:szCs w:val="28"/>
        </w:rPr>
        <w:t>3.22. Изменение стоимости земельных участков, учитываемых в составе нефинансовых активов имущества казны, в связи с изменением их кадастровой стоимости отражается в бюджетном учете финансового года, в котором произошли указанные изменения, с отражением указанных изменений в бюджетной отчетности.</w:t>
      </w:r>
    </w:p>
    <w:p w:rsidR="00741B66" w:rsidRPr="00741B66" w:rsidRDefault="00741B66" w:rsidP="00741B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B66">
        <w:rPr>
          <w:rFonts w:ascii="Times New Roman" w:hAnsi="Times New Roman" w:cs="Times New Roman"/>
          <w:sz w:val="28"/>
          <w:szCs w:val="28"/>
        </w:rPr>
        <w:t>3.23. Передача объектов имущества (нефинансовых активов) из состава муниципальной казны осуществляется по балансовой стоимости с одновременной передачей, в случае наличия, суммы начисленной на объект имущества муниципальной казны амортизации.</w:t>
      </w:r>
    </w:p>
    <w:p w:rsidR="00741B66" w:rsidRDefault="00741B66" w:rsidP="00741B66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B66">
        <w:rPr>
          <w:rFonts w:ascii="Times New Roman" w:hAnsi="Times New Roman" w:cs="Times New Roman"/>
          <w:sz w:val="28"/>
          <w:szCs w:val="28"/>
        </w:rPr>
        <w:t>3.24. Переоценка стоимости объектов нефинансовых активов, составляющих муниципальную казну, проводится в порядке, устанавливаемом Правительством РФ, высшим исполнительным органом субъекта РФ, местной администрацией.</w:t>
      </w:r>
      <w:r w:rsidRPr="00741B66">
        <w:rPr>
          <w:rFonts w:ascii="Times New Roman" w:hAnsi="Times New Roman" w:cs="Times New Roman"/>
          <w:sz w:val="28"/>
          <w:szCs w:val="28"/>
        </w:rPr>
        <w:br/>
      </w:r>
      <w:bookmarkStart w:id="2" w:name="sub_1600"/>
    </w:p>
    <w:p w:rsidR="00741B66" w:rsidRPr="00741B66" w:rsidRDefault="00741B66" w:rsidP="00741B6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B66">
        <w:rPr>
          <w:rFonts w:ascii="Times New Roman" w:hAnsi="Times New Roman" w:cs="Times New Roman"/>
          <w:b/>
          <w:sz w:val="28"/>
          <w:szCs w:val="28"/>
        </w:rPr>
        <w:t>4. Амортизация нефинансовых активов имущества казны</w:t>
      </w:r>
    </w:p>
    <w:p w:rsidR="00741B66" w:rsidRPr="00741B66" w:rsidRDefault="00741B66" w:rsidP="00741B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2"/>
      <w:bookmarkEnd w:id="2"/>
      <w:r w:rsidRPr="00741B66">
        <w:rPr>
          <w:rFonts w:ascii="Times New Roman" w:hAnsi="Times New Roman" w:cs="Times New Roman"/>
          <w:sz w:val="28"/>
          <w:szCs w:val="28"/>
        </w:rPr>
        <w:t>4.1. По объектам материальных и нематериальных основных фондов, составляющим казну, амортизация отражается в следующем порядке:</w:t>
      </w:r>
    </w:p>
    <w:bookmarkEnd w:id="3"/>
    <w:p w:rsidR="00741B66" w:rsidRPr="00741B66" w:rsidRDefault="00741B66" w:rsidP="00741B66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1B66">
        <w:rPr>
          <w:rFonts w:ascii="Times New Roman" w:hAnsi="Times New Roman"/>
          <w:sz w:val="28"/>
          <w:szCs w:val="28"/>
        </w:rPr>
        <w:t>- по объектам нефинансовых активов, включенным в состав казны по основанию прекращения права оперативного управления (хозяйственного ведения), амортизация отражается в размере сумм, учтенных (начисленных) последним правообладателем;</w:t>
      </w:r>
    </w:p>
    <w:p w:rsidR="00741B66" w:rsidRPr="00741B66" w:rsidRDefault="00741B66" w:rsidP="00741B66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1B66">
        <w:rPr>
          <w:rFonts w:ascii="Times New Roman" w:hAnsi="Times New Roman"/>
          <w:sz w:val="28"/>
          <w:szCs w:val="28"/>
        </w:rPr>
        <w:t>- на объекты нефинансовых активов с даты их включения в состав казны амортизация не начисляется до их вовлечения в хозяйственный оборот (в частности, передачи нефинансовых активов имущества казны в аренду, безвозмездное пользование, постоянное (бессрочное) пользование, оперативное управление).</w:t>
      </w:r>
    </w:p>
    <w:p w:rsidR="00741B66" w:rsidRPr="00741B66" w:rsidRDefault="00741B66" w:rsidP="00741B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3"/>
      <w:r w:rsidRPr="00741B66">
        <w:rPr>
          <w:rFonts w:ascii="Times New Roman" w:hAnsi="Times New Roman" w:cs="Times New Roman"/>
          <w:sz w:val="28"/>
          <w:szCs w:val="28"/>
        </w:rPr>
        <w:t>4.2. Расчет и единовременное начисление суммы амортизации за период нахождения объекта в составе нефинансовых активов имущества казны осуществляется при вовлечении объекта в хозяйственный оборот. При этом указанный расчет и единовременное начисление суммы амортизации осуществляется на основании данных о его первоначальной (балансовой, остаточной) стоимости, иной стоимости объекта, указанной в реестре государственной (муниципальной) казны и срока нахождения в составе имущества казны.</w:t>
      </w:r>
      <w:bookmarkEnd w:id="4"/>
    </w:p>
    <w:p w:rsidR="00741B66" w:rsidRPr="00741B66" w:rsidRDefault="00741B66" w:rsidP="00741B66">
      <w:pPr>
        <w:pStyle w:val="formattexttopleveltextindenttext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741B66">
        <w:rPr>
          <w:sz w:val="28"/>
          <w:szCs w:val="28"/>
        </w:rPr>
        <w:t>4.3. Начисление амортизации на амортизируемые объекты имущества муниципальной казны, в порядке, установленно</w:t>
      </w:r>
      <w:r>
        <w:rPr>
          <w:sz w:val="28"/>
          <w:szCs w:val="28"/>
        </w:rPr>
        <w:t>м пунктами 84 - 93 Инструкции № </w:t>
      </w:r>
      <w:r w:rsidRPr="00741B66">
        <w:rPr>
          <w:sz w:val="28"/>
          <w:szCs w:val="28"/>
        </w:rPr>
        <w:t xml:space="preserve">157н, производится по отдельным объектам, вовлеченным в хозяйственный оборот и (или) приносящим экономические выгоды (объекты, переданные в </w:t>
      </w:r>
      <w:r w:rsidRPr="00741B66">
        <w:rPr>
          <w:sz w:val="28"/>
          <w:szCs w:val="28"/>
        </w:rPr>
        <w:lastRenderedPageBreak/>
        <w:t>безвозмездное пользование, в аренду и т.д.). Расчет годовой суммы амортизации на объекты казны производится линейным способом, исходя из его балансовой стоимости и нормы амортизации, исчисленной исходя из срока его полезного использования.</w:t>
      </w:r>
    </w:p>
    <w:p w:rsidR="00741B66" w:rsidRPr="00741B66" w:rsidRDefault="00741B66" w:rsidP="00741B66">
      <w:pPr>
        <w:pStyle w:val="formattexttopleveltextindenttext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741B66">
        <w:rPr>
          <w:sz w:val="28"/>
          <w:szCs w:val="28"/>
        </w:rPr>
        <w:t xml:space="preserve">4.4. </w:t>
      </w:r>
      <w:proofErr w:type="gramStart"/>
      <w:r w:rsidRPr="00741B66">
        <w:rPr>
          <w:sz w:val="28"/>
          <w:szCs w:val="28"/>
        </w:rPr>
        <w:t>В случаях расчета амортизационных начислений линейным способом, при изменении срока полезного использования в связи с изменением первоначально принятых нормативных показателей функционирования объектов казны, в том числе в результате проведенной достройки, дооборудования, реконструкции, модернизации или частичной ликвидации, изменении срока права пользования активом, начиная с месяца, в котором был изменен срок полезного использования, расчет годовой суммы амортизации производится учреждением линейным способом, исходя</w:t>
      </w:r>
      <w:proofErr w:type="gramEnd"/>
      <w:r w:rsidRPr="00741B66">
        <w:rPr>
          <w:sz w:val="28"/>
          <w:szCs w:val="28"/>
        </w:rPr>
        <w:t xml:space="preserve"> из остаточной стоимости амортизируемого объекта казны на дату изменения срока полезного использования и уточненной нормы амортизации, исчисленной исходя из оставшегося срока полезного использования на дату изменения срока использования.</w:t>
      </w:r>
    </w:p>
    <w:p w:rsidR="00741B66" w:rsidRPr="00741B66" w:rsidRDefault="00741B66" w:rsidP="00741B6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B66">
        <w:rPr>
          <w:rFonts w:ascii="Times New Roman" w:hAnsi="Times New Roman" w:cs="Times New Roman"/>
          <w:sz w:val="28"/>
          <w:szCs w:val="28"/>
        </w:rPr>
        <w:t xml:space="preserve">Под остаточной стоимостью амортизируемого объекта казны на соответствующую дату понимается балансовая стоимость объекта казны, уменьшенная на </w:t>
      </w:r>
      <w:proofErr w:type="gramStart"/>
      <w:r w:rsidRPr="00741B66">
        <w:rPr>
          <w:rFonts w:ascii="Times New Roman" w:hAnsi="Times New Roman" w:cs="Times New Roman"/>
          <w:sz w:val="28"/>
          <w:szCs w:val="28"/>
        </w:rPr>
        <w:t>сумму начисленной на</w:t>
      </w:r>
      <w:proofErr w:type="gramEnd"/>
      <w:r w:rsidRPr="00741B66">
        <w:rPr>
          <w:rFonts w:ascii="Times New Roman" w:hAnsi="Times New Roman" w:cs="Times New Roman"/>
          <w:sz w:val="28"/>
          <w:szCs w:val="28"/>
        </w:rPr>
        <w:t xml:space="preserve"> соответствующую дату амортизации.</w:t>
      </w:r>
    </w:p>
    <w:p w:rsidR="00741B66" w:rsidRPr="00741B66" w:rsidRDefault="00741B66" w:rsidP="00741B6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B66">
        <w:rPr>
          <w:rFonts w:ascii="Times New Roman" w:hAnsi="Times New Roman" w:cs="Times New Roman"/>
          <w:sz w:val="28"/>
          <w:szCs w:val="28"/>
        </w:rPr>
        <w:t>Под оставшимся сроком полезного использования на соответствующую дату понимается срок полезного использования амортизируемого объекта казны, уменьшенный на срок его фактического использования на соответствующую дату.</w:t>
      </w:r>
    </w:p>
    <w:p w:rsidR="00741B66" w:rsidRPr="00741B66" w:rsidRDefault="00741B66" w:rsidP="00741B6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B66">
        <w:rPr>
          <w:rFonts w:ascii="Times New Roman" w:hAnsi="Times New Roman" w:cs="Times New Roman"/>
          <w:sz w:val="28"/>
          <w:szCs w:val="28"/>
        </w:rPr>
        <w:t>4.5. При принятии к учету объекта казны по балансовой стоимости с ранее начисленной суммой амортизации расчет годовой суммы амортизации производится линейным способом, исходя из остаточной стоимости амортизируемого объекта казны на дату его принятия к учету, и нормы амортизации, исчисленной исходя из оставшегося срока полезного использования на дату его принятия к учету.</w:t>
      </w:r>
    </w:p>
    <w:p w:rsidR="00741B66" w:rsidRPr="00741B66" w:rsidRDefault="00741B66" w:rsidP="0074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B66">
        <w:rPr>
          <w:rFonts w:ascii="Times New Roman" w:hAnsi="Times New Roman" w:cs="Times New Roman"/>
          <w:sz w:val="28"/>
          <w:szCs w:val="28"/>
        </w:rPr>
        <w:t>4.6. В течение финансового года амортизация начисляется ежемесячно линейным способом в размере 1/12 годовой суммы.</w:t>
      </w:r>
    </w:p>
    <w:p w:rsidR="00741B66" w:rsidRPr="00741B66" w:rsidRDefault="00741B66" w:rsidP="0074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B66">
        <w:rPr>
          <w:rFonts w:ascii="Times New Roman" w:hAnsi="Times New Roman" w:cs="Times New Roman"/>
          <w:sz w:val="28"/>
          <w:szCs w:val="28"/>
        </w:rPr>
        <w:t>4.7. Начисление амортизации начинается с первого числа месяца, следующего за месяцем принятия объекта казны к бухгалтерскому учету, и производится до полного погашения стоимости этого объекта либо его выбытия (в том числе по основанию списания объекта казны с бухгалтерского учета).</w:t>
      </w:r>
    </w:p>
    <w:p w:rsidR="00741B66" w:rsidRPr="00741B66" w:rsidRDefault="00741B66" w:rsidP="0074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B66">
        <w:rPr>
          <w:rFonts w:ascii="Times New Roman" w:hAnsi="Times New Roman" w:cs="Times New Roman"/>
          <w:sz w:val="28"/>
          <w:szCs w:val="28"/>
        </w:rPr>
        <w:t>4.8. В случаях, когда объект казны простаивает или не используется, или удерживается для последующей передачи (списания), начисление амортизации объектов казны не приостанавливается, за исключением случая, когда остаточная стоимость объекта казны равна нулю.</w:t>
      </w:r>
    </w:p>
    <w:p w:rsidR="00741B66" w:rsidRPr="00741B66" w:rsidRDefault="00741B66" w:rsidP="0074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B66">
        <w:rPr>
          <w:rFonts w:ascii="Times New Roman" w:hAnsi="Times New Roman" w:cs="Times New Roman"/>
          <w:sz w:val="28"/>
          <w:szCs w:val="28"/>
        </w:rPr>
        <w:t>4.9. Начисление амортизации не может производиться свыше 100% стоимости амортизируемого объекта казны.</w:t>
      </w:r>
    </w:p>
    <w:p w:rsidR="00741B66" w:rsidRPr="00741B66" w:rsidRDefault="00741B66" w:rsidP="0074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B66">
        <w:rPr>
          <w:rFonts w:ascii="Times New Roman" w:hAnsi="Times New Roman" w:cs="Times New Roman"/>
          <w:sz w:val="28"/>
          <w:szCs w:val="28"/>
        </w:rPr>
        <w:t>4.10. Начисление амортизации на объект казны прекращается с первого числа месяца, следующего за месяцем полного погашения стоимости объекта казны или за месяцем выбытия этого объекта с бухгалтерского учета.</w:t>
      </w:r>
    </w:p>
    <w:p w:rsidR="00741B66" w:rsidRPr="00741B66" w:rsidRDefault="00741B66" w:rsidP="00741B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B66">
        <w:rPr>
          <w:rFonts w:ascii="Times New Roman" w:hAnsi="Times New Roman" w:cs="Times New Roman"/>
          <w:sz w:val="28"/>
          <w:szCs w:val="28"/>
        </w:rPr>
        <w:t>Начисленная в размере 100% стоимости амортизация на объекты казны, которые пригодны для дальнейшей эксплуатации (использования), не может служить основанием для принятия решения об их списании по причине полной амортизации и (или) нулевой остаточной стоимости.</w:t>
      </w:r>
    </w:p>
    <w:p w:rsidR="00741B66" w:rsidRPr="00741B66" w:rsidRDefault="00741B66" w:rsidP="0074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B66">
        <w:rPr>
          <w:rFonts w:ascii="Times New Roman" w:hAnsi="Times New Roman" w:cs="Times New Roman"/>
          <w:sz w:val="28"/>
          <w:szCs w:val="28"/>
        </w:rPr>
        <w:lastRenderedPageBreak/>
        <w:t>4.11. По объектам казны амортизация начисляется в следующем порядке:</w:t>
      </w:r>
    </w:p>
    <w:p w:rsidR="00741B66" w:rsidRPr="00741B66" w:rsidRDefault="00741B66" w:rsidP="0074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B66">
        <w:rPr>
          <w:rFonts w:ascii="Times New Roman" w:hAnsi="Times New Roman" w:cs="Times New Roman"/>
          <w:sz w:val="28"/>
          <w:szCs w:val="28"/>
        </w:rPr>
        <w:t>на объекты казны стоимостью свыше 100 000 рублей амортизация начисляется в соответствии с рассчитанными нормами амортизации;</w:t>
      </w:r>
    </w:p>
    <w:p w:rsidR="00741B66" w:rsidRPr="00741B66" w:rsidRDefault="00741B66" w:rsidP="0074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B66">
        <w:rPr>
          <w:rFonts w:ascii="Times New Roman" w:hAnsi="Times New Roman" w:cs="Times New Roman"/>
          <w:sz w:val="28"/>
          <w:szCs w:val="28"/>
        </w:rPr>
        <w:t>на объекты казны (за исключением объектов нематериальных активов) стоимостью от 10 000 до 100 000 рублей включительно амортизация начисляется в размере 100% первоначальной стоимости объекта казны;</w:t>
      </w:r>
    </w:p>
    <w:p w:rsidR="00741B66" w:rsidRPr="00741B66" w:rsidRDefault="00741B66" w:rsidP="0074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B66">
        <w:rPr>
          <w:rFonts w:ascii="Times New Roman" w:hAnsi="Times New Roman" w:cs="Times New Roman"/>
          <w:sz w:val="28"/>
          <w:szCs w:val="28"/>
        </w:rPr>
        <w:t>на объекты казны (за исключением объектов нематериальных активов) стоимостью до 10 000 рублей включительно амортизация не начисляется;</w:t>
      </w:r>
    </w:p>
    <w:p w:rsidR="00741B66" w:rsidRPr="00741B66" w:rsidRDefault="00741B66" w:rsidP="0074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B66">
        <w:rPr>
          <w:rFonts w:ascii="Times New Roman" w:hAnsi="Times New Roman" w:cs="Times New Roman"/>
          <w:sz w:val="28"/>
          <w:szCs w:val="28"/>
        </w:rPr>
        <w:t>на объекты нематериальных активов стоимостью до 100 000 рублей включительно амортизация начисляется в размере 100% балансовой стоимости при принятии объекта на учет.</w:t>
      </w:r>
    </w:p>
    <w:p w:rsidR="00741B66" w:rsidRDefault="00741B66" w:rsidP="0074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41B66" w:rsidSect="00B57A98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741B66">
        <w:rPr>
          <w:rFonts w:ascii="Times New Roman" w:hAnsi="Times New Roman" w:cs="Times New Roman"/>
          <w:sz w:val="28"/>
          <w:szCs w:val="28"/>
        </w:rPr>
        <w:t xml:space="preserve">4.12. Отражение в бюджетном учете операций по начислению амортизации на объекты казны осуществляется на счетах бюджетного учета, с установлением дополнительных разрядов (подвида) в коде аналитического счета </w:t>
      </w:r>
      <w:hyperlink w:anchor="P271" w:history="1">
        <w:r w:rsidRPr="00741B66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741B66">
        <w:rPr>
          <w:rFonts w:ascii="Times New Roman" w:hAnsi="Times New Roman" w:cs="Times New Roman"/>
          <w:sz w:val="28"/>
          <w:szCs w:val="28"/>
        </w:rPr>
        <w:t xml:space="preserve"> счетов бюджетного учета в соответствии с приложением 2 к настоящему Порядку.</w:t>
      </w:r>
    </w:p>
    <w:p w:rsidR="00741B66" w:rsidRPr="00741B66" w:rsidRDefault="00741B66" w:rsidP="0074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66" w:rsidRPr="00741B66" w:rsidRDefault="00741B66" w:rsidP="00741B66">
      <w:pPr>
        <w:pStyle w:val="formattexttopleveltextindenttext"/>
        <w:tabs>
          <w:tab w:val="left" w:pos="2220"/>
        </w:tabs>
        <w:spacing w:before="0" w:beforeAutospacing="0" w:after="0" w:afterAutospacing="0"/>
        <w:ind w:firstLine="720"/>
        <w:jc w:val="both"/>
        <w:textAlignment w:val="baseline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672"/>
        <w:gridCol w:w="4672"/>
      </w:tblGrid>
      <w:tr w:rsidR="00741B66" w:rsidRPr="00741B66" w:rsidTr="00681E26">
        <w:tc>
          <w:tcPr>
            <w:tcW w:w="4672" w:type="dxa"/>
            <w:shd w:val="clear" w:color="auto" w:fill="auto"/>
          </w:tcPr>
          <w:p w:rsidR="00741B66" w:rsidRPr="00741B66" w:rsidRDefault="00741B66" w:rsidP="00681E26">
            <w:pPr>
              <w:pStyle w:val="formattexttopleveltextindenttext"/>
              <w:spacing w:before="0" w:beforeAutospacing="0" w:after="0" w:afterAutospacing="0"/>
              <w:jc w:val="right"/>
              <w:textAlignment w:val="baseline"/>
              <w:rPr>
                <w:sz w:val="22"/>
                <w:szCs w:val="22"/>
              </w:rPr>
            </w:pPr>
          </w:p>
          <w:p w:rsidR="00741B66" w:rsidRPr="00741B66" w:rsidRDefault="00741B66" w:rsidP="00681E26">
            <w:pPr>
              <w:pStyle w:val="formattexttopleveltextindenttext"/>
              <w:spacing w:before="0" w:beforeAutospacing="0" w:after="0" w:afterAutospacing="0"/>
              <w:jc w:val="right"/>
              <w:textAlignment w:val="baseline"/>
              <w:rPr>
                <w:sz w:val="22"/>
                <w:szCs w:val="22"/>
              </w:rPr>
            </w:pPr>
          </w:p>
          <w:p w:rsidR="00741B66" w:rsidRPr="00741B66" w:rsidRDefault="00741B66" w:rsidP="00681E26">
            <w:pPr>
              <w:pStyle w:val="formattexttopleveltextindenttext"/>
              <w:spacing w:before="0" w:beforeAutospacing="0" w:after="0" w:afterAutospacing="0"/>
              <w:jc w:val="righ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:rsidR="00741B66" w:rsidRPr="00741B66" w:rsidRDefault="00741B66" w:rsidP="00681E26">
            <w:pPr>
              <w:pStyle w:val="formattexttopleveltextindenttext"/>
              <w:spacing w:before="0" w:beforeAutospacing="0" w:after="0" w:afterAutospacing="0"/>
              <w:ind w:firstLine="720"/>
              <w:jc w:val="right"/>
              <w:textAlignment w:val="baseline"/>
              <w:rPr>
                <w:sz w:val="18"/>
                <w:szCs w:val="18"/>
              </w:rPr>
            </w:pPr>
            <w:r w:rsidRPr="00741B66">
              <w:rPr>
                <w:sz w:val="18"/>
                <w:szCs w:val="18"/>
              </w:rPr>
              <w:t>Приложение № 1</w:t>
            </w:r>
          </w:p>
          <w:p w:rsidR="00741B66" w:rsidRPr="00741B66" w:rsidRDefault="00741B66" w:rsidP="00741B66">
            <w:pPr>
              <w:pStyle w:val="formattexttopleveltext"/>
              <w:spacing w:before="0" w:beforeAutospacing="0" w:after="0" w:afterAutospacing="0"/>
              <w:jc w:val="right"/>
              <w:textAlignment w:val="baseline"/>
              <w:rPr>
                <w:sz w:val="22"/>
                <w:szCs w:val="22"/>
              </w:rPr>
            </w:pPr>
            <w:r w:rsidRPr="00741B66">
              <w:rPr>
                <w:sz w:val="18"/>
                <w:szCs w:val="18"/>
              </w:rPr>
              <w:tab/>
            </w:r>
            <w:r w:rsidRPr="00741B66">
              <w:rPr>
                <w:sz w:val="18"/>
                <w:szCs w:val="18"/>
              </w:rPr>
              <w:tab/>
              <w:t xml:space="preserve">Порядка ведения инвентарного и аналитического учета по объектам имущества (нефинансовым активам), составляющим казну муниципального образования </w:t>
            </w:r>
            <w:r>
              <w:rPr>
                <w:sz w:val="18"/>
                <w:szCs w:val="18"/>
              </w:rPr>
              <w:t>Шиховской</w:t>
            </w:r>
            <w:r w:rsidRPr="00741B66">
              <w:rPr>
                <w:sz w:val="18"/>
                <w:szCs w:val="18"/>
                <w:shd w:val="clear" w:color="auto" w:fill="FFFFFF"/>
              </w:rPr>
              <w:t xml:space="preserve"> сельское поселение, </w:t>
            </w:r>
            <w:r w:rsidRPr="00741B66">
              <w:rPr>
                <w:sz w:val="18"/>
                <w:szCs w:val="18"/>
              </w:rPr>
              <w:t xml:space="preserve">утвержденного постановлением администрации </w:t>
            </w:r>
            <w:r>
              <w:rPr>
                <w:sz w:val="18"/>
                <w:szCs w:val="18"/>
              </w:rPr>
              <w:t>от 30.10</w:t>
            </w:r>
            <w:r w:rsidRPr="00741B66">
              <w:rPr>
                <w:sz w:val="18"/>
                <w:szCs w:val="18"/>
              </w:rPr>
              <w:t xml:space="preserve">.2024 г. </w:t>
            </w:r>
            <w:r w:rsidRPr="00F46C35">
              <w:rPr>
                <w:sz w:val="18"/>
                <w:szCs w:val="18"/>
              </w:rPr>
              <w:t>№</w:t>
            </w:r>
            <w:r w:rsidRPr="00741B66">
              <w:rPr>
                <w:sz w:val="18"/>
                <w:szCs w:val="18"/>
              </w:rPr>
              <w:t xml:space="preserve"> </w:t>
            </w:r>
            <w:r w:rsidR="00F46C35">
              <w:rPr>
                <w:sz w:val="18"/>
                <w:szCs w:val="18"/>
              </w:rPr>
              <w:t>696</w:t>
            </w:r>
          </w:p>
        </w:tc>
      </w:tr>
    </w:tbl>
    <w:p w:rsidR="00741B66" w:rsidRPr="00741B66" w:rsidRDefault="00741B66" w:rsidP="00741B66">
      <w:pPr>
        <w:pStyle w:val="formattexttopleveltextindenttext"/>
        <w:spacing w:before="0" w:beforeAutospacing="0" w:after="0" w:afterAutospacing="0"/>
        <w:ind w:firstLine="720"/>
        <w:jc w:val="both"/>
        <w:textAlignment w:val="baseline"/>
        <w:rPr>
          <w:sz w:val="16"/>
          <w:szCs w:val="16"/>
        </w:rPr>
      </w:pPr>
    </w:p>
    <w:p w:rsidR="00741B66" w:rsidRPr="00741B66" w:rsidRDefault="00741B66" w:rsidP="00741B66">
      <w:pPr>
        <w:pStyle w:val="formattexttopleveltextindenttext"/>
        <w:spacing w:before="0" w:beforeAutospacing="0" w:after="0" w:afterAutospacing="0"/>
        <w:jc w:val="center"/>
        <w:textAlignment w:val="baseline"/>
        <w:rPr>
          <w:b/>
        </w:rPr>
      </w:pPr>
      <w:r w:rsidRPr="00741B66">
        <w:rPr>
          <w:b/>
        </w:rPr>
        <w:t>План</w:t>
      </w:r>
    </w:p>
    <w:p w:rsidR="00741B66" w:rsidRPr="00741B66" w:rsidRDefault="00741B66" w:rsidP="00741B66">
      <w:pPr>
        <w:pStyle w:val="formattexttopleveltextindenttext"/>
        <w:spacing w:before="0" w:beforeAutospacing="0" w:after="0" w:afterAutospacing="0"/>
        <w:jc w:val="center"/>
        <w:textAlignment w:val="baseline"/>
        <w:rPr>
          <w:b/>
          <w:shd w:val="clear" w:color="auto" w:fill="FFFFFF"/>
        </w:rPr>
      </w:pPr>
      <w:r w:rsidRPr="00741B66">
        <w:rPr>
          <w:b/>
          <w:shd w:val="clear" w:color="auto" w:fill="FFFFFF"/>
        </w:rPr>
        <w:t>счетов бюджетного учета объектов имущества муниципальной казны</w:t>
      </w:r>
    </w:p>
    <w:p w:rsidR="00741B66" w:rsidRPr="00741B66" w:rsidRDefault="00741B66" w:rsidP="00741B66">
      <w:pPr>
        <w:pStyle w:val="formattexttopleveltextinden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850"/>
        <w:gridCol w:w="851"/>
        <w:gridCol w:w="708"/>
        <w:gridCol w:w="567"/>
        <w:gridCol w:w="5245"/>
      </w:tblGrid>
      <w:tr w:rsidR="00741B66" w:rsidRPr="00741B66" w:rsidTr="00681E26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Синтетический счет объекта учета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учета имущества муниципальной казны</w:t>
            </w:r>
          </w:p>
        </w:tc>
      </w:tr>
      <w:tr w:rsidR="00741B66" w:rsidRPr="00741B66" w:rsidTr="00681E26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коды счета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66" w:rsidRPr="00741B66" w:rsidRDefault="00741B66" w:rsidP="00681E2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1B66" w:rsidRPr="00741B66" w:rsidTr="00681E26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синтетический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аналитический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66" w:rsidRPr="00741B66" w:rsidRDefault="00741B66" w:rsidP="00681E2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1B66" w:rsidRPr="00741B66" w:rsidTr="00681E26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группа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подвид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66" w:rsidRPr="00741B66" w:rsidRDefault="00741B66" w:rsidP="00681E2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1B66" w:rsidRPr="00741B66" w:rsidTr="00681E2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66" w:rsidRPr="00741B66" w:rsidRDefault="00741B66" w:rsidP="00681E2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41B66" w:rsidRPr="00741B66" w:rsidTr="00681E2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Недвижимое имущество, составляющее казну</w:t>
            </w:r>
          </w:p>
        </w:tc>
      </w:tr>
      <w:tr w:rsidR="00741B66" w:rsidRPr="00741B66" w:rsidTr="00681E2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Жилые помещения</w:t>
            </w:r>
          </w:p>
        </w:tc>
      </w:tr>
      <w:tr w:rsidR="00741B66" w:rsidRPr="00741B66" w:rsidTr="00681E2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Нежилые помещения (здания, сооружения)</w:t>
            </w:r>
          </w:p>
        </w:tc>
      </w:tr>
      <w:tr w:rsidR="00741B66" w:rsidRPr="00741B66" w:rsidTr="00681E2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Движимое имущество, составляющее казну</w:t>
            </w:r>
          </w:p>
        </w:tc>
      </w:tr>
      <w:tr w:rsidR="00741B66" w:rsidRPr="00741B66" w:rsidTr="00681E2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Машины и оборудование</w:t>
            </w:r>
          </w:p>
        </w:tc>
      </w:tr>
      <w:tr w:rsidR="00741B66" w:rsidRPr="00741B66" w:rsidTr="00681E2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Транспортные средства</w:t>
            </w:r>
          </w:p>
        </w:tc>
      </w:tr>
      <w:tr w:rsidR="00741B66" w:rsidRPr="00741B66" w:rsidTr="00681E2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Инвентарь производственный и хозяйственный</w:t>
            </w:r>
          </w:p>
        </w:tc>
      </w:tr>
      <w:tr w:rsidR="00741B66" w:rsidRPr="00741B66" w:rsidTr="00681E2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Биологические ресурсы</w:t>
            </w:r>
          </w:p>
        </w:tc>
      </w:tr>
      <w:tr w:rsidR="00741B66" w:rsidRPr="00741B66" w:rsidTr="00681E2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Прочие нефинансовые активы</w:t>
            </w:r>
          </w:p>
        </w:tc>
      </w:tr>
      <w:tr w:rsidR="00741B66" w:rsidRPr="00741B66" w:rsidTr="00681E2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Ценности государственных фондов</w:t>
            </w:r>
          </w:p>
        </w:tc>
      </w:tr>
      <w:tr w:rsidR="00741B66" w:rsidRPr="00741B66" w:rsidTr="00681E2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Нематериальные активы, составляющие казну</w:t>
            </w:r>
          </w:p>
        </w:tc>
      </w:tr>
      <w:tr w:rsidR="00741B66" w:rsidRPr="00741B66" w:rsidTr="00681E2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Непроизведенные</w:t>
            </w:r>
            <w:proofErr w:type="spellEnd"/>
            <w:r w:rsidRPr="00741B66">
              <w:rPr>
                <w:rFonts w:ascii="Times New Roman" w:hAnsi="Times New Roman" w:cs="Times New Roman"/>
                <w:sz w:val="22"/>
                <w:szCs w:val="22"/>
              </w:rPr>
              <w:t xml:space="preserve"> активы, составляющие казну</w:t>
            </w:r>
          </w:p>
        </w:tc>
      </w:tr>
      <w:tr w:rsidR="00741B66" w:rsidRPr="00741B66" w:rsidTr="00681E2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Земля</w:t>
            </w:r>
          </w:p>
        </w:tc>
      </w:tr>
      <w:tr w:rsidR="00741B66" w:rsidRPr="00741B66" w:rsidTr="00681E2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5.2.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Ресурсы недр</w:t>
            </w:r>
          </w:p>
        </w:tc>
      </w:tr>
      <w:tr w:rsidR="00741B66" w:rsidRPr="00741B66" w:rsidTr="00681E2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5.3.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 xml:space="preserve">Прочие </w:t>
            </w:r>
            <w:proofErr w:type="spellStart"/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непроизведенные</w:t>
            </w:r>
            <w:proofErr w:type="spellEnd"/>
            <w:r w:rsidRPr="00741B66">
              <w:rPr>
                <w:rFonts w:ascii="Times New Roman" w:hAnsi="Times New Roman" w:cs="Times New Roman"/>
                <w:sz w:val="22"/>
                <w:szCs w:val="22"/>
              </w:rPr>
              <w:t xml:space="preserve"> активы</w:t>
            </w:r>
          </w:p>
        </w:tc>
      </w:tr>
      <w:tr w:rsidR="00741B66" w:rsidRPr="00741B66" w:rsidTr="00681E2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Материальные запасы, составляющие казну</w:t>
            </w:r>
          </w:p>
        </w:tc>
      </w:tr>
      <w:tr w:rsidR="00741B66" w:rsidRPr="00741B66" w:rsidTr="00681E2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Прочие активы, составляющие казну</w:t>
            </w:r>
          </w:p>
        </w:tc>
      </w:tr>
      <w:tr w:rsidR="00741B66" w:rsidRPr="00741B66" w:rsidTr="00681E26">
        <w:trPr>
          <w:trHeight w:val="5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Нефинансовые активы, составляющие казну в концессии</w:t>
            </w:r>
          </w:p>
        </w:tc>
      </w:tr>
      <w:tr w:rsidR="00741B66" w:rsidRPr="00741B66" w:rsidTr="00681E2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8.1.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 xml:space="preserve">Недвижимое имущество </w:t>
            </w:r>
            <w:proofErr w:type="spellStart"/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концедента</w:t>
            </w:r>
            <w:proofErr w:type="spellEnd"/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, составляющее казну</w:t>
            </w:r>
          </w:p>
        </w:tc>
      </w:tr>
      <w:tr w:rsidR="00741B66" w:rsidRPr="00741B66" w:rsidTr="00681E2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8.2.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имущество </w:t>
            </w:r>
            <w:proofErr w:type="spellStart"/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концедента</w:t>
            </w:r>
            <w:proofErr w:type="spellEnd"/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, составляющее казну</w:t>
            </w:r>
          </w:p>
        </w:tc>
      </w:tr>
      <w:tr w:rsidR="00741B66" w:rsidRPr="00741B66" w:rsidTr="00681E2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8.3.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Нематериальные активы </w:t>
            </w:r>
            <w:proofErr w:type="spellStart"/>
            <w:r w:rsidRPr="00741B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концедента</w:t>
            </w:r>
            <w:proofErr w:type="spellEnd"/>
            <w:r w:rsidRPr="00741B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составляющие казну</w:t>
            </w:r>
          </w:p>
        </w:tc>
      </w:tr>
      <w:tr w:rsidR="00741B66" w:rsidRPr="00741B66" w:rsidTr="00681E2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8.4.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41B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6" w:rsidRPr="00741B66" w:rsidRDefault="00741B66" w:rsidP="00681E2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66" w:rsidRPr="00741B66" w:rsidRDefault="00741B66" w:rsidP="00681E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1B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Непроизведенные</w:t>
            </w:r>
            <w:proofErr w:type="spellEnd"/>
            <w:r w:rsidRPr="00741B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активы (земля) </w:t>
            </w:r>
            <w:proofErr w:type="spellStart"/>
            <w:r w:rsidRPr="00741B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концедента</w:t>
            </w:r>
            <w:proofErr w:type="spellEnd"/>
            <w:r w:rsidRPr="00741B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составляющие казну</w:t>
            </w:r>
          </w:p>
        </w:tc>
      </w:tr>
    </w:tbl>
    <w:p w:rsidR="00741B66" w:rsidRPr="00741B66" w:rsidRDefault="00741B66" w:rsidP="00741B66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741B66" w:rsidRDefault="00741B66" w:rsidP="00681E26">
      <w:pPr>
        <w:pStyle w:val="formattexttopleveltextindenttext"/>
        <w:spacing w:before="0" w:beforeAutospacing="0" w:after="0" w:afterAutospacing="0"/>
        <w:jc w:val="right"/>
        <w:textAlignment w:val="baseline"/>
        <w:rPr>
          <w:sz w:val="22"/>
          <w:szCs w:val="22"/>
        </w:rPr>
        <w:sectPr w:rsidR="00741B66" w:rsidSect="00B57A98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672"/>
        <w:gridCol w:w="4672"/>
      </w:tblGrid>
      <w:tr w:rsidR="00741B66" w:rsidRPr="00741B66" w:rsidTr="00681E26">
        <w:tc>
          <w:tcPr>
            <w:tcW w:w="4672" w:type="dxa"/>
            <w:shd w:val="clear" w:color="auto" w:fill="auto"/>
          </w:tcPr>
          <w:p w:rsidR="00741B66" w:rsidRPr="00741B66" w:rsidRDefault="00741B66" w:rsidP="00681E26">
            <w:pPr>
              <w:pStyle w:val="formattexttopleveltextindenttext"/>
              <w:spacing w:before="0" w:beforeAutospacing="0" w:after="0" w:afterAutospacing="0"/>
              <w:jc w:val="righ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:rsidR="00741B66" w:rsidRPr="00741B66" w:rsidRDefault="00741B66" w:rsidP="00681E26">
            <w:pPr>
              <w:pStyle w:val="formattexttopleveltextinden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  <w:p w:rsidR="00741B66" w:rsidRPr="00741B66" w:rsidRDefault="00741B66" w:rsidP="00681E26">
            <w:pPr>
              <w:pStyle w:val="formattexttopleveltextindenttext"/>
              <w:spacing w:before="0" w:beforeAutospacing="0" w:after="0" w:afterAutospacing="0"/>
              <w:ind w:firstLine="720"/>
              <w:jc w:val="right"/>
              <w:textAlignment w:val="baseline"/>
              <w:rPr>
                <w:sz w:val="18"/>
                <w:szCs w:val="18"/>
              </w:rPr>
            </w:pPr>
            <w:r w:rsidRPr="00741B66">
              <w:rPr>
                <w:sz w:val="18"/>
                <w:szCs w:val="18"/>
              </w:rPr>
              <w:t>Приложение № 2</w:t>
            </w:r>
          </w:p>
          <w:p w:rsidR="00741B66" w:rsidRPr="00741B66" w:rsidRDefault="00741B66" w:rsidP="00681E26">
            <w:pPr>
              <w:pStyle w:val="formattexttopleveltextindenttext"/>
              <w:spacing w:before="0" w:beforeAutospacing="0" w:after="0" w:afterAutospacing="0"/>
              <w:jc w:val="right"/>
              <w:textAlignment w:val="baseline"/>
              <w:rPr>
                <w:sz w:val="22"/>
                <w:szCs w:val="22"/>
              </w:rPr>
            </w:pPr>
            <w:r w:rsidRPr="00741B66">
              <w:rPr>
                <w:sz w:val="18"/>
                <w:szCs w:val="18"/>
              </w:rPr>
              <w:tab/>
            </w:r>
            <w:r w:rsidRPr="00741B66">
              <w:rPr>
                <w:sz w:val="18"/>
                <w:szCs w:val="18"/>
              </w:rPr>
              <w:tab/>
              <w:t xml:space="preserve">Порядка ведения инвентарного и аналитического учета по объектам имущества (нефинансовым активам), составляющим казну муниципального образования </w:t>
            </w:r>
            <w:r>
              <w:rPr>
                <w:sz w:val="18"/>
                <w:szCs w:val="18"/>
              </w:rPr>
              <w:t>Шиховской</w:t>
            </w:r>
            <w:r w:rsidRPr="00741B66">
              <w:rPr>
                <w:sz w:val="18"/>
                <w:szCs w:val="18"/>
                <w:shd w:val="clear" w:color="auto" w:fill="FFFFFF"/>
              </w:rPr>
              <w:t xml:space="preserve"> сельское поселение, </w:t>
            </w:r>
            <w:r w:rsidRPr="00741B66">
              <w:rPr>
                <w:sz w:val="18"/>
                <w:szCs w:val="18"/>
              </w:rPr>
              <w:t xml:space="preserve">утвержденного постановлением администрации </w:t>
            </w:r>
            <w:r>
              <w:rPr>
                <w:sz w:val="18"/>
                <w:szCs w:val="18"/>
              </w:rPr>
              <w:t>от 30.10</w:t>
            </w:r>
            <w:r w:rsidRPr="00741B66">
              <w:rPr>
                <w:sz w:val="18"/>
                <w:szCs w:val="18"/>
              </w:rPr>
              <w:t>.2024 г</w:t>
            </w:r>
            <w:r w:rsidRPr="00F46C35">
              <w:rPr>
                <w:sz w:val="18"/>
                <w:szCs w:val="18"/>
              </w:rPr>
              <w:t>. №</w:t>
            </w:r>
            <w:r w:rsidR="00F46C35">
              <w:rPr>
                <w:sz w:val="18"/>
                <w:szCs w:val="18"/>
              </w:rPr>
              <w:t xml:space="preserve"> 696</w:t>
            </w:r>
          </w:p>
        </w:tc>
      </w:tr>
    </w:tbl>
    <w:p w:rsidR="00741B66" w:rsidRPr="00741B66" w:rsidRDefault="00741B66" w:rsidP="00741B66">
      <w:pPr>
        <w:tabs>
          <w:tab w:val="left" w:pos="2580"/>
        </w:tabs>
        <w:rPr>
          <w:rFonts w:ascii="Times New Roman" w:hAnsi="Times New Roman" w:cs="Times New Roman"/>
          <w:sz w:val="16"/>
          <w:szCs w:val="16"/>
        </w:rPr>
      </w:pPr>
    </w:p>
    <w:p w:rsidR="00741B66" w:rsidRPr="00741B66" w:rsidRDefault="00741B66" w:rsidP="00741B66">
      <w:pPr>
        <w:pStyle w:val="formattexttopleveltextindenttext"/>
        <w:spacing w:before="0" w:beforeAutospacing="0" w:after="0" w:afterAutospacing="0"/>
        <w:jc w:val="center"/>
        <w:textAlignment w:val="baseline"/>
        <w:rPr>
          <w:b/>
        </w:rPr>
      </w:pPr>
      <w:r w:rsidRPr="00741B66">
        <w:rPr>
          <w:b/>
        </w:rPr>
        <w:t>План</w:t>
      </w:r>
    </w:p>
    <w:p w:rsidR="00741B66" w:rsidRPr="00741B66" w:rsidRDefault="00741B66" w:rsidP="00741B66">
      <w:pPr>
        <w:pStyle w:val="formattexttopleveltextindenttext"/>
        <w:spacing w:before="0" w:beforeAutospacing="0" w:after="0" w:afterAutospacing="0"/>
        <w:jc w:val="center"/>
        <w:textAlignment w:val="baseline"/>
        <w:rPr>
          <w:b/>
          <w:shd w:val="clear" w:color="auto" w:fill="FFFFFF"/>
        </w:rPr>
      </w:pPr>
      <w:r w:rsidRPr="00741B66">
        <w:rPr>
          <w:b/>
          <w:shd w:val="clear" w:color="auto" w:fill="FFFFFF"/>
        </w:rPr>
        <w:t xml:space="preserve">счетов бюджетного учета по начислению амортизации </w:t>
      </w:r>
    </w:p>
    <w:p w:rsidR="00741B66" w:rsidRPr="00741B66" w:rsidRDefault="00741B66" w:rsidP="00741B66">
      <w:pPr>
        <w:pStyle w:val="formattexttopleveltextindenttext"/>
        <w:spacing w:before="0" w:beforeAutospacing="0" w:after="0" w:afterAutospacing="0"/>
        <w:jc w:val="center"/>
        <w:textAlignment w:val="baseline"/>
        <w:rPr>
          <w:b/>
          <w:shd w:val="clear" w:color="auto" w:fill="FFFFFF"/>
        </w:rPr>
      </w:pPr>
      <w:r w:rsidRPr="00741B66">
        <w:rPr>
          <w:b/>
          <w:shd w:val="clear" w:color="auto" w:fill="FFFFFF"/>
        </w:rPr>
        <w:t>на объекты имущества муниципальной казны</w:t>
      </w:r>
    </w:p>
    <w:p w:rsidR="00741B66" w:rsidRPr="00741B66" w:rsidRDefault="00741B66" w:rsidP="00741B66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168"/>
        <w:gridCol w:w="970"/>
        <w:gridCol w:w="737"/>
        <w:gridCol w:w="993"/>
        <w:gridCol w:w="4790"/>
      </w:tblGrid>
      <w:tr w:rsidR="00741B66" w:rsidRPr="00741B66" w:rsidTr="00681E26">
        <w:trPr>
          <w:trHeight w:val="89"/>
        </w:trPr>
        <w:tc>
          <w:tcPr>
            <w:tcW w:w="737" w:type="dxa"/>
            <w:vMerge w:val="restart"/>
          </w:tcPr>
          <w:p w:rsidR="00741B66" w:rsidRPr="00741B66" w:rsidRDefault="00741B66" w:rsidP="00681E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proofErr w:type="gramStart"/>
            <w:r w:rsidRPr="00741B66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741B66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741B66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3868" w:type="dxa"/>
            <w:gridSpan w:val="4"/>
          </w:tcPr>
          <w:p w:rsidR="00741B66" w:rsidRPr="00741B66" w:rsidRDefault="00741B66" w:rsidP="00681E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Синтетический счет объекта учета</w:t>
            </w:r>
          </w:p>
        </w:tc>
        <w:tc>
          <w:tcPr>
            <w:tcW w:w="4790" w:type="dxa"/>
            <w:vMerge w:val="restart"/>
          </w:tcPr>
          <w:p w:rsidR="00741B66" w:rsidRPr="00741B66" w:rsidRDefault="00741B66" w:rsidP="00681E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Наименование объекта учета имущества муниципальной казны</w:t>
            </w:r>
          </w:p>
        </w:tc>
      </w:tr>
      <w:tr w:rsidR="00741B66" w:rsidRPr="00741B66" w:rsidTr="00681E26">
        <w:tc>
          <w:tcPr>
            <w:tcW w:w="737" w:type="dxa"/>
            <w:vMerge/>
          </w:tcPr>
          <w:p w:rsidR="00741B66" w:rsidRPr="00741B66" w:rsidRDefault="00741B66" w:rsidP="00681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gridSpan w:val="4"/>
          </w:tcPr>
          <w:p w:rsidR="00741B66" w:rsidRPr="00741B66" w:rsidRDefault="00741B66" w:rsidP="00681E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коды счета</w:t>
            </w:r>
          </w:p>
        </w:tc>
        <w:tc>
          <w:tcPr>
            <w:tcW w:w="4790" w:type="dxa"/>
            <w:vMerge/>
          </w:tcPr>
          <w:p w:rsidR="00741B66" w:rsidRPr="00741B66" w:rsidRDefault="00741B66" w:rsidP="00681E26">
            <w:pPr>
              <w:rPr>
                <w:rFonts w:ascii="Times New Roman" w:hAnsi="Times New Roman" w:cs="Times New Roman"/>
              </w:rPr>
            </w:pPr>
          </w:p>
        </w:tc>
      </w:tr>
      <w:tr w:rsidR="00741B66" w:rsidRPr="00741B66" w:rsidTr="00681E26">
        <w:tc>
          <w:tcPr>
            <w:tcW w:w="737" w:type="dxa"/>
            <w:vMerge/>
          </w:tcPr>
          <w:p w:rsidR="00741B66" w:rsidRPr="00741B66" w:rsidRDefault="00741B66" w:rsidP="00681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 w:val="restart"/>
          </w:tcPr>
          <w:p w:rsidR="00741B66" w:rsidRPr="00741B66" w:rsidRDefault="00741B66" w:rsidP="00681E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синтетический</w:t>
            </w:r>
          </w:p>
        </w:tc>
        <w:tc>
          <w:tcPr>
            <w:tcW w:w="2700" w:type="dxa"/>
            <w:gridSpan w:val="3"/>
          </w:tcPr>
          <w:p w:rsidR="00741B66" w:rsidRPr="00741B66" w:rsidRDefault="00741B66" w:rsidP="00681E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аналитический</w:t>
            </w:r>
          </w:p>
        </w:tc>
        <w:tc>
          <w:tcPr>
            <w:tcW w:w="4790" w:type="dxa"/>
            <w:vMerge/>
          </w:tcPr>
          <w:p w:rsidR="00741B66" w:rsidRPr="00741B66" w:rsidRDefault="00741B66" w:rsidP="00681E26">
            <w:pPr>
              <w:rPr>
                <w:rFonts w:ascii="Times New Roman" w:hAnsi="Times New Roman" w:cs="Times New Roman"/>
              </w:rPr>
            </w:pPr>
          </w:p>
        </w:tc>
      </w:tr>
      <w:tr w:rsidR="00741B66" w:rsidRPr="00741B66" w:rsidTr="00681E26">
        <w:tc>
          <w:tcPr>
            <w:tcW w:w="737" w:type="dxa"/>
            <w:vMerge/>
          </w:tcPr>
          <w:p w:rsidR="00741B66" w:rsidRPr="00741B66" w:rsidRDefault="00741B66" w:rsidP="00681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741B66" w:rsidRPr="00741B66" w:rsidRDefault="00741B66" w:rsidP="00681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41B66" w:rsidRPr="00741B66" w:rsidRDefault="00741B66" w:rsidP="00681E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группа</w:t>
            </w:r>
          </w:p>
        </w:tc>
        <w:tc>
          <w:tcPr>
            <w:tcW w:w="737" w:type="dxa"/>
          </w:tcPr>
          <w:p w:rsidR="00741B66" w:rsidRPr="00741B66" w:rsidRDefault="00741B66" w:rsidP="00681E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вид</w:t>
            </w:r>
          </w:p>
        </w:tc>
        <w:tc>
          <w:tcPr>
            <w:tcW w:w="993" w:type="dxa"/>
          </w:tcPr>
          <w:p w:rsidR="00741B66" w:rsidRPr="00741B66" w:rsidRDefault="00741B66" w:rsidP="00681E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подвид</w:t>
            </w:r>
          </w:p>
        </w:tc>
        <w:tc>
          <w:tcPr>
            <w:tcW w:w="4790" w:type="dxa"/>
            <w:vMerge/>
          </w:tcPr>
          <w:p w:rsidR="00741B66" w:rsidRPr="00741B66" w:rsidRDefault="00741B66" w:rsidP="00681E26">
            <w:pPr>
              <w:rPr>
                <w:rFonts w:ascii="Times New Roman" w:hAnsi="Times New Roman" w:cs="Times New Roman"/>
              </w:rPr>
            </w:pPr>
          </w:p>
        </w:tc>
      </w:tr>
      <w:tr w:rsidR="00741B66" w:rsidRPr="00741B66" w:rsidTr="00681E26">
        <w:tc>
          <w:tcPr>
            <w:tcW w:w="737" w:type="dxa"/>
          </w:tcPr>
          <w:p w:rsidR="00741B66" w:rsidRPr="00741B66" w:rsidRDefault="00741B66" w:rsidP="00681E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68" w:type="dxa"/>
          </w:tcPr>
          <w:p w:rsidR="00741B66" w:rsidRPr="00741B66" w:rsidRDefault="00741B66" w:rsidP="00681E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70" w:type="dxa"/>
          </w:tcPr>
          <w:p w:rsidR="00741B66" w:rsidRPr="00741B66" w:rsidRDefault="00741B66" w:rsidP="00681E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</w:tcPr>
          <w:p w:rsidR="00741B66" w:rsidRPr="00741B66" w:rsidRDefault="00741B66" w:rsidP="00681E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</w:tcPr>
          <w:p w:rsidR="00741B66" w:rsidRPr="00741B66" w:rsidRDefault="00741B66" w:rsidP="00681E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790" w:type="dxa"/>
          </w:tcPr>
          <w:p w:rsidR="00741B66" w:rsidRPr="00741B66" w:rsidRDefault="00741B66" w:rsidP="00681E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741B66" w:rsidRPr="00741B66" w:rsidTr="00681E26">
        <w:trPr>
          <w:trHeight w:val="464"/>
        </w:trPr>
        <w:tc>
          <w:tcPr>
            <w:tcW w:w="737" w:type="dxa"/>
          </w:tcPr>
          <w:p w:rsidR="00741B66" w:rsidRPr="00741B66" w:rsidRDefault="00741B66" w:rsidP="00681E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168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104</w:t>
            </w:r>
          </w:p>
        </w:tc>
        <w:tc>
          <w:tcPr>
            <w:tcW w:w="970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37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0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Амортизация недвижимого имущества в составе имущества казны</w:t>
            </w:r>
          </w:p>
        </w:tc>
      </w:tr>
      <w:tr w:rsidR="00741B66" w:rsidRPr="00741B66" w:rsidTr="00681E26">
        <w:tc>
          <w:tcPr>
            <w:tcW w:w="737" w:type="dxa"/>
          </w:tcPr>
          <w:p w:rsidR="00741B66" w:rsidRPr="00741B66" w:rsidRDefault="00741B66" w:rsidP="00681E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1168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104</w:t>
            </w:r>
          </w:p>
        </w:tc>
        <w:tc>
          <w:tcPr>
            <w:tcW w:w="970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37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790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Амортизация жилых помещений</w:t>
            </w:r>
          </w:p>
        </w:tc>
      </w:tr>
      <w:tr w:rsidR="00741B66" w:rsidRPr="00741B66" w:rsidTr="00681E26">
        <w:trPr>
          <w:trHeight w:val="460"/>
        </w:trPr>
        <w:tc>
          <w:tcPr>
            <w:tcW w:w="737" w:type="dxa"/>
          </w:tcPr>
          <w:p w:rsidR="00741B66" w:rsidRPr="00741B66" w:rsidRDefault="00741B66" w:rsidP="00681E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1168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104</w:t>
            </w:r>
          </w:p>
        </w:tc>
        <w:tc>
          <w:tcPr>
            <w:tcW w:w="970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37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790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Амортизация нежилых помещений (зданий, сооружений)</w:t>
            </w:r>
          </w:p>
        </w:tc>
      </w:tr>
      <w:tr w:rsidR="00741B66" w:rsidRPr="00741B66" w:rsidTr="00681E26">
        <w:tc>
          <w:tcPr>
            <w:tcW w:w="737" w:type="dxa"/>
          </w:tcPr>
          <w:p w:rsidR="00741B66" w:rsidRPr="00741B66" w:rsidRDefault="00741B66" w:rsidP="00681E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168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104</w:t>
            </w:r>
          </w:p>
        </w:tc>
        <w:tc>
          <w:tcPr>
            <w:tcW w:w="970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37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3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0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Амортизация движимого имущества в составе имущества казны</w:t>
            </w:r>
          </w:p>
        </w:tc>
      </w:tr>
      <w:tr w:rsidR="00741B66" w:rsidRPr="00741B66" w:rsidTr="00681E26">
        <w:tc>
          <w:tcPr>
            <w:tcW w:w="737" w:type="dxa"/>
          </w:tcPr>
          <w:p w:rsidR="00741B66" w:rsidRPr="00741B66" w:rsidRDefault="00741B66" w:rsidP="00681E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1168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104</w:t>
            </w:r>
          </w:p>
        </w:tc>
        <w:tc>
          <w:tcPr>
            <w:tcW w:w="970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37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3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790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Амортизация машин и оборудования</w:t>
            </w:r>
          </w:p>
        </w:tc>
      </w:tr>
      <w:tr w:rsidR="00741B66" w:rsidRPr="00741B66" w:rsidTr="00681E26">
        <w:tc>
          <w:tcPr>
            <w:tcW w:w="737" w:type="dxa"/>
          </w:tcPr>
          <w:p w:rsidR="00741B66" w:rsidRPr="00741B66" w:rsidRDefault="00741B66" w:rsidP="00681E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1168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104</w:t>
            </w:r>
          </w:p>
        </w:tc>
        <w:tc>
          <w:tcPr>
            <w:tcW w:w="970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37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3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790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Амортизация транспортных средств</w:t>
            </w:r>
          </w:p>
        </w:tc>
      </w:tr>
      <w:tr w:rsidR="00741B66" w:rsidRPr="00741B66" w:rsidTr="00681E26">
        <w:trPr>
          <w:trHeight w:val="316"/>
        </w:trPr>
        <w:tc>
          <w:tcPr>
            <w:tcW w:w="737" w:type="dxa"/>
          </w:tcPr>
          <w:p w:rsidR="00741B66" w:rsidRPr="00741B66" w:rsidRDefault="00741B66" w:rsidP="00681E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1168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104</w:t>
            </w:r>
          </w:p>
        </w:tc>
        <w:tc>
          <w:tcPr>
            <w:tcW w:w="970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37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3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790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Амортизация инвентаря производственного и хозяйственного</w:t>
            </w:r>
          </w:p>
        </w:tc>
      </w:tr>
      <w:tr w:rsidR="00741B66" w:rsidRPr="00741B66" w:rsidTr="00681E26">
        <w:tc>
          <w:tcPr>
            <w:tcW w:w="737" w:type="dxa"/>
          </w:tcPr>
          <w:p w:rsidR="00741B66" w:rsidRPr="00741B66" w:rsidRDefault="00741B66" w:rsidP="00681E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2.4.</w:t>
            </w:r>
          </w:p>
        </w:tc>
        <w:tc>
          <w:tcPr>
            <w:tcW w:w="1168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104</w:t>
            </w:r>
          </w:p>
        </w:tc>
        <w:tc>
          <w:tcPr>
            <w:tcW w:w="970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37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3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790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Амортизация биологических ресурсов</w:t>
            </w:r>
          </w:p>
        </w:tc>
      </w:tr>
      <w:tr w:rsidR="00741B66" w:rsidRPr="00741B66" w:rsidTr="00681E26">
        <w:tc>
          <w:tcPr>
            <w:tcW w:w="737" w:type="dxa"/>
          </w:tcPr>
          <w:p w:rsidR="00741B66" w:rsidRPr="00741B66" w:rsidRDefault="00741B66" w:rsidP="00681E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2.5.</w:t>
            </w:r>
          </w:p>
        </w:tc>
        <w:tc>
          <w:tcPr>
            <w:tcW w:w="1168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104</w:t>
            </w:r>
          </w:p>
        </w:tc>
        <w:tc>
          <w:tcPr>
            <w:tcW w:w="970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37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3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790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Амортизация прочих нефинансовых активов</w:t>
            </w:r>
          </w:p>
        </w:tc>
      </w:tr>
      <w:tr w:rsidR="00741B66" w:rsidRPr="00741B66" w:rsidTr="00681E26">
        <w:trPr>
          <w:trHeight w:val="496"/>
        </w:trPr>
        <w:tc>
          <w:tcPr>
            <w:tcW w:w="737" w:type="dxa"/>
          </w:tcPr>
          <w:p w:rsidR="00741B66" w:rsidRPr="00741B66" w:rsidRDefault="00741B66" w:rsidP="00681E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168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104</w:t>
            </w:r>
          </w:p>
        </w:tc>
        <w:tc>
          <w:tcPr>
            <w:tcW w:w="970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37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0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Амортизация нематериальных активов в составе имущества казны</w:t>
            </w:r>
          </w:p>
        </w:tc>
      </w:tr>
      <w:tr w:rsidR="00741B66" w:rsidRPr="00741B66" w:rsidTr="00681E26">
        <w:trPr>
          <w:trHeight w:val="194"/>
        </w:trPr>
        <w:tc>
          <w:tcPr>
            <w:tcW w:w="737" w:type="dxa"/>
          </w:tcPr>
          <w:p w:rsidR="00741B66" w:rsidRPr="00741B66" w:rsidRDefault="00741B66" w:rsidP="00681E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168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104</w:t>
            </w:r>
          </w:p>
        </w:tc>
        <w:tc>
          <w:tcPr>
            <w:tcW w:w="970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37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3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0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Амортизация имущества казны в концессии</w:t>
            </w:r>
          </w:p>
        </w:tc>
      </w:tr>
      <w:tr w:rsidR="00741B66" w:rsidRPr="00741B66" w:rsidTr="00681E26">
        <w:tc>
          <w:tcPr>
            <w:tcW w:w="737" w:type="dxa"/>
          </w:tcPr>
          <w:p w:rsidR="00741B66" w:rsidRPr="00741B66" w:rsidRDefault="00741B66" w:rsidP="00681E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1168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104</w:t>
            </w:r>
          </w:p>
        </w:tc>
        <w:tc>
          <w:tcPr>
            <w:tcW w:w="970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37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3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790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 xml:space="preserve">Амортизация недвижимого имущества </w:t>
            </w:r>
            <w:proofErr w:type="spellStart"/>
            <w:r w:rsidRPr="00741B66">
              <w:rPr>
                <w:rFonts w:ascii="Times New Roman" w:hAnsi="Times New Roman" w:cs="Times New Roman"/>
                <w:szCs w:val="22"/>
              </w:rPr>
              <w:t>концедента</w:t>
            </w:r>
            <w:proofErr w:type="spellEnd"/>
          </w:p>
        </w:tc>
      </w:tr>
      <w:tr w:rsidR="00741B66" w:rsidRPr="00741B66" w:rsidTr="00681E26">
        <w:tc>
          <w:tcPr>
            <w:tcW w:w="737" w:type="dxa"/>
          </w:tcPr>
          <w:p w:rsidR="00741B66" w:rsidRPr="00741B66" w:rsidRDefault="00741B66" w:rsidP="00681E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4.2.</w:t>
            </w:r>
          </w:p>
        </w:tc>
        <w:tc>
          <w:tcPr>
            <w:tcW w:w="1168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104</w:t>
            </w:r>
          </w:p>
        </w:tc>
        <w:tc>
          <w:tcPr>
            <w:tcW w:w="970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37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3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790" w:type="dxa"/>
          </w:tcPr>
          <w:p w:rsidR="00741B66" w:rsidRPr="00741B66" w:rsidRDefault="00741B66" w:rsidP="00681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1B66">
              <w:rPr>
                <w:rFonts w:ascii="Times New Roman" w:hAnsi="Times New Roman" w:cs="Times New Roman"/>
                <w:szCs w:val="22"/>
              </w:rPr>
              <w:t xml:space="preserve">Амортизация движимого имущества </w:t>
            </w:r>
            <w:proofErr w:type="spellStart"/>
            <w:r w:rsidRPr="00741B66">
              <w:rPr>
                <w:rFonts w:ascii="Times New Roman" w:hAnsi="Times New Roman" w:cs="Times New Roman"/>
                <w:szCs w:val="22"/>
              </w:rPr>
              <w:t>концедента</w:t>
            </w:r>
            <w:proofErr w:type="spellEnd"/>
          </w:p>
        </w:tc>
      </w:tr>
    </w:tbl>
    <w:p w:rsidR="00B57A98" w:rsidRPr="00741B66" w:rsidRDefault="00B57A98" w:rsidP="00741B66">
      <w:pPr>
        <w:ind w:right="355"/>
        <w:jc w:val="both"/>
        <w:rPr>
          <w:rFonts w:ascii="Times New Roman" w:hAnsi="Times New Roman" w:cs="Times New Roman"/>
          <w:sz w:val="24"/>
          <w:szCs w:val="24"/>
        </w:rPr>
      </w:pPr>
    </w:p>
    <w:sectPr w:rsidR="00B57A98" w:rsidRPr="00741B66" w:rsidSect="00B57A9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95D3F"/>
    <w:multiLevelType w:val="multilevel"/>
    <w:tmpl w:val="0AEAF344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10" w:hanging="720"/>
      </w:pPr>
    </w:lvl>
    <w:lvl w:ilvl="2">
      <w:start w:val="1"/>
      <w:numFmt w:val="decimal"/>
      <w:lvlText w:val="%1.%2.%3."/>
      <w:lvlJc w:val="left"/>
      <w:pPr>
        <w:ind w:left="1500" w:hanging="720"/>
      </w:pPr>
    </w:lvl>
    <w:lvl w:ilvl="3">
      <w:start w:val="1"/>
      <w:numFmt w:val="decimal"/>
      <w:lvlText w:val="%1.%2.%3.%4."/>
      <w:lvlJc w:val="left"/>
      <w:pPr>
        <w:ind w:left="2250" w:hanging="1080"/>
      </w:pPr>
    </w:lvl>
    <w:lvl w:ilvl="4">
      <w:start w:val="1"/>
      <w:numFmt w:val="decimal"/>
      <w:lvlText w:val="%1.%2.%3.%4.%5."/>
      <w:lvlJc w:val="left"/>
      <w:pPr>
        <w:ind w:left="2640" w:hanging="1080"/>
      </w:pPr>
    </w:lvl>
    <w:lvl w:ilvl="5">
      <w:start w:val="1"/>
      <w:numFmt w:val="decimal"/>
      <w:lvlText w:val="%1.%2.%3.%4.%5.%6."/>
      <w:lvlJc w:val="left"/>
      <w:pPr>
        <w:ind w:left="3390" w:hanging="1440"/>
      </w:pPr>
    </w:lvl>
    <w:lvl w:ilvl="6">
      <w:start w:val="1"/>
      <w:numFmt w:val="decimal"/>
      <w:lvlText w:val="%1.%2.%3.%4.%5.%6.%7."/>
      <w:lvlJc w:val="left"/>
      <w:pPr>
        <w:ind w:left="3780" w:hanging="1440"/>
      </w:pPr>
    </w:lvl>
    <w:lvl w:ilvl="7">
      <w:start w:val="1"/>
      <w:numFmt w:val="decimal"/>
      <w:lvlText w:val="%1.%2.%3.%4.%5.%6.%7.%8."/>
      <w:lvlJc w:val="left"/>
      <w:pPr>
        <w:ind w:left="4530" w:hanging="1800"/>
      </w:pPr>
    </w:lvl>
    <w:lvl w:ilvl="8">
      <w:start w:val="1"/>
      <w:numFmt w:val="decimal"/>
      <w:lvlText w:val="%1.%2.%3.%4.%5.%6.%7.%8.%9."/>
      <w:lvlJc w:val="left"/>
      <w:pPr>
        <w:ind w:left="5280" w:hanging="2160"/>
      </w:pPr>
    </w:lvl>
  </w:abstractNum>
  <w:abstractNum w:abstractNumId="1">
    <w:nsid w:val="1AF90121"/>
    <w:multiLevelType w:val="multilevel"/>
    <w:tmpl w:val="E8CA3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2">
    <w:nsid w:val="1BE378E7"/>
    <w:multiLevelType w:val="multilevel"/>
    <w:tmpl w:val="305CBB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A98"/>
    <w:rsid w:val="000054F4"/>
    <w:rsid w:val="00741B66"/>
    <w:rsid w:val="00B11C7D"/>
    <w:rsid w:val="00B57A98"/>
    <w:rsid w:val="00CC79E1"/>
    <w:rsid w:val="00CD5318"/>
    <w:rsid w:val="00F17A23"/>
    <w:rsid w:val="00F46C35"/>
    <w:rsid w:val="00F47873"/>
    <w:rsid w:val="00F5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98"/>
    <w:pPr>
      <w:autoSpaceDE w:val="0"/>
      <w:autoSpaceDN w:val="0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B66"/>
    <w:pPr>
      <w:keepNext/>
      <w:suppressAutoHyphens/>
      <w:autoSpaceDE/>
      <w:autoSpaceDN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A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1B6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5">
    <w:name w:val="Hyperlink"/>
    <w:uiPriority w:val="99"/>
    <w:unhideWhenUsed/>
    <w:rsid w:val="00741B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41B66"/>
    <w:pPr>
      <w:autoSpaceDE/>
      <w:autoSpaceDN/>
      <w:ind w:left="720"/>
      <w:contextualSpacing/>
    </w:pPr>
    <w:rPr>
      <w:rFonts w:cs="Times New Roman"/>
    </w:rPr>
  </w:style>
  <w:style w:type="paragraph" w:customStyle="1" w:styleId="formattexttopleveltextindenttext">
    <w:name w:val="formattext topleveltext indenttext"/>
    <w:basedOn w:val="a"/>
    <w:rsid w:val="00741B66"/>
    <w:pPr>
      <w:autoSpaceDE/>
      <w:autoSpaceDN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741B66"/>
    <w:pPr>
      <w:autoSpaceDE/>
      <w:autoSpaceDN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Цветовое выделение"/>
    <w:rsid w:val="00741B66"/>
    <w:rPr>
      <w:b/>
      <w:bCs/>
      <w:color w:val="26282F"/>
    </w:rPr>
  </w:style>
  <w:style w:type="paragraph" w:customStyle="1" w:styleId="s1">
    <w:name w:val="s_1"/>
    <w:basedOn w:val="a"/>
    <w:rsid w:val="00741B66"/>
    <w:pPr>
      <w:autoSpaceDE/>
      <w:autoSpaceDN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Нормальный (таблица)"/>
    <w:basedOn w:val="a"/>
    <w:next w:val="a"/>
    <w:rsid w:val="00741B66"/>
    <w:pPr>
      <w:widowControl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rsid w:val="00741B66"/>
    <w:pPr>
      <w:widowControl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741B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3299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5</cp:revision>
  <dcterms:created xsi:type="dcterms:W3CDTF">2024-10-30T08:30:00Z</dcterms:created>
  <dcterms:modified xsi:type="dcterms:W3CDTF">2024-10-31T08:06:00Z</dcterms:modified>
</cp:coreProperties>
</file>